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8704F" w14:textId="5883F73F" w:rsidR="00621BBB" w:rsidRPr="00220D97" w:rsidRDefault="00621BBB" w:rsidP="00621BBB">
      <w:pPr>
        <w:spacing w:after="0"/>
        <w:jc w:val="center"/>
        <w:rPr>
          <w:rFonts w:ascii="Times New Roman" w:eastAsia="Times" w:hAnsi="Times New Roman" w:cs="Times New Roman"/>
          <w:b/>
          <w:sz w:val="28"/>
          <w:szCs w:val="28"/>
        </w:rPr>
      </w:pPr>
      <w:r w:rsidRPr="00220D97">
        <w:rPr>
          <w:rFonts w:ascii="Times New Roman" w:eastAsia="Times" w:hAnsi="Times New Roman" w:cs="Times New Roman"/>
          <w:b/>
          <w:sz w:val="28"/>
          <w:szCs w:val="28"/>
        </w:rPr>
        <w:t xml:space="preserve">FLUKTUASI KINERJA KEUANGAN PERBANKAN SYARIAH: ANALISIS PADA IMPLEMENTASI </w:t>
      </w:r>
      <w:r w:rsidRPr="00220D97">
        <w:rPr>
          <w:rFonts w:ascii="Times New Roman" w:eastAsia="Times" w:hAnsi="Times New Roman" w:cs="Times New Roman"/>
          <w:b/>
          <w:i/>
          <w:iCs/>
          <w:sz w:val="28"/>
          <w:szCs w:val="28"/>
        </w:rPr>
        <w:t>PROFIT LOSS SHARING</w:t>
      </w:r>
      <w:r w:rsidRPr="00220D97">
        <w:rPr>
          <w:rFonts w:ascii="Times New Roman" w:eastAsia="Times" w:hAnsi="Times New Roman" w:cs="Times New Roman"/>
          <w:b/>
          <w:sz w:val="28"/>
          <w:szCs w:val="28"/>
        </w:rPr>
        <w:t xml:space="preserve"> DAN MANAJEMEN RISIKO </w:t>
      </w:r>
    </w:p>
    <w:p w14:paraId="105E7CBC" w14:textId="77777777" w:rsidR="005111AC" w:rsidRPr="00B14ED8" w:rsidRDefault="005111AC">
      <w:pPr>
        <w:spacing w:after="0"/>
        <w:jc w:val="center"/>
        <w:rPr>
          <w:rFonts w:ascii="Times New Roman" w:eastAsia="Times New Roman" w:hAnsi="Times New Roman" w:cs="Times New Roman"/>
          <w:sz w:val="24"/>
          <w:szCs w:val="24"/>
        </w:rPr>
      </w:pPr>
    </w:p>
    <w:p w14:paraId="13E3F60A" w14:textId="7DE19259" w:rsidR="005111AC" w:rsidRPr="00B14ED8" w:rsidRDefault="00EE2451">
      <w:pPr>
        <w:spacing w:after="0" w:line="276" w:lineRule="auto"/>
        <w:jc w:val="center"/>
        <w:rPr>
          <w:rFonts w:ascii="Times New Roman" w:eastAsia="Times" w:hAnsi="Times New Roman" w:cs="Times New Roman"/>
          <w:b/>
          <w:sz w:val="24"/>
          <w:szCs w:val="24"/>
        </w:rPr>
      </w:pPr>
      <w:r w:rsidRPr="00B14ED8">
        <w:rPr>
          <w:rFonts w:ascii="Times New Roman" w:eastAsia="Times" w:hAnsi="Times New Roman" w:cs="Times New Roman"/>
          <w:b/>
          <w:sz w:val="24"/>
          <w:szCs w:val="24"/>
        </w:rPr>
        <w:t xml:space="preserve">Maulana Fajar¹, </w:t>
      </w:r>
      <w:proofErr w:type="spellStart"/>
      <w:r w:rsidR="001C367B" w:rsidRPr="00B14ED8">
        <w:rPr>
          <w:rFonts w:ascii="Times New Roman" w:eastAsia="Times" w:hAnsi="Times New Roman" w:cs="Times New Roman"/>
          <w:b/>
          <w:sz w:val="24"/>
          <w:szCs w:val="24"/>
        </w:rPr>
        <w:t>Triana</w:t>
      </w:r>
      <w:proofErr w:type="spellEnd"/>
      <w:r w:rsidR="001C367B" w:rsidRPr="00B14ED8">
        <w:rPr>
          <w:rFonts w:ascii="Times New Roman" w:eastAsia="Times" w:hAnsi="Times New Roman" w:cs="Times New Roman"/>
          <w:b/>
          <w:sz w:val="24"/>
          <w:szCs w:val="24"/>
        </w:rPr>
        <w:t xml:space="preserve"> Hasty Kusuma</w:t>
      </w:r>
      <w:r w:rsidRPr="00B14ED8">
        <w:rPr>
          <w:rFonts w:ascii="Times New Roman" w:eastAsia="Times" w:hAnsi="Times New Roman" w:cs="Times New Roman"/>
          <w:b/>
          <w:sz w:val="24"/>
          <w:szCs w:val="24"/>
        </w:rPr>
        <w:t>²</w:t>
      </w:r>
      <w:r w:rsidR="001C367B" w:rsidRPr="00B14ED8">
        <w:rPr>
          <w:rFonts w:ascii="Times New Roman" w:eastAsia="Times" w:hAnsi="Times New Roman" w:cs="Times New Roman"/>
          <w:b/>
          <w:sz w:val="24"/>
          <w:szCs w:val="24"/>
        </w:rPr>
        <w:t>, Novita Yuliana</w:t>
      </w:r>
      <w:r w:rsidR="00120B59" w:rsidRPr="00B14ED8">
        <w:rPr>
          <w:rFonts w:ascii="Times New Roman" w:eastAsia="Times" w:hAnsi="Times New Roman" w:cs="Times New Roman"/>
          <w:b/>
          <w:sz w:val="24"/>
          <w:szCs w:val="24"/>
          <w:vertAlign w:val="superscript"/>
        </w:rPr>
        <w:t>3</w:t>
      </w:r>
      <w:r w:rsidR="001C367B" w:rsidRPr="00B14ED8">
        <w:rPr>
          <w:rFonts w:ascii="Times New Roman" w:eastAsia="Times" w:hAnsi="Times New Roman" w:cs="Times New Roman"/>
          <w:b/>
          <w:sz w:val="24"/>
          <w:szCs w:val="24"/>
        </w:rPr>
        <w:t xml:space="preserve">, </w:t>
      </w:r>
      <w:proofErr w:type="spellStart"/>
      <w:r w:rsidR="001C367B" w:rsidRPr="00B14ED8">
        <w:rPr>
          <w:rFonts w:ascii="Times New Roman" w:eastAsia="Times" w:hAnsi="Times New Roman" w:cs="Times New Roman"/>
          <w:b/>
          <w:sz w:val="24"/>
          <w:szCs w:val="24"/>
        </w:rPr>
        <w:t>Dwi</w:t>
      </w:r>
      <w:proofErr w:type="spellEnd"/>
      <w:r w:rsidR="001C367B" w:rsidRPr="00B14ED8">
        <w:rPr>
          <w:rFonts w:ascii="Times New Roman" w:eastAsia="Times" w:hAnsi="Times New Roman" w:cs="Times New Roman"/>
          <w:b/>
          <w:sz w:val="24"/>
          <w:szCs w:val="24"/>
        </w:rPr>
        <w:t xml:space="preserve"> </w:t>
      </w:r>
      <w:proofErr w:type="spellStart"/>
      <w:r w:rsidR="001C367B" w:rsidRPr="00B14ED8">
        <w:rPr>
          <w:rFonts w:ascii="Times New Roman" w:eastAsia="Times" w:hAnsi="Times New Roman" w:cs="Times New Roman"/>
          <w:b/>
          <w:sz w:val="24"/>
          <w:szCs w:val="24"/>
        </w:rPr>
        <w:t>Puji</w:t>
      </w:r>
      <w:proofErr w:type="spellEnd"/>
      <w:r w:rsidR="001C367B" w:rsidRPr="00B14ED8">
        <w:rPr>
          <w:rFonts w:ascii="Times New Roman" w:eastAsia="Times" w:hAnsi="Times New Roman" w:cs="Times New Roman"/>
          <w:b/>
          <w:sz w:val="24"/>
          <w:szCs w:val="24"/>
        </w:rPr>
        <w:t xml:space="preserve"> Ratnawati</w:t>
      </w:r>
      <w:r w:rsidR="00120B59" w:rsidRPr="00B14ED8">
        <w:rPr>
          <w:rFonts w:ascii="Times New Roman" w:eastAsia="Times" w:hAnsi="Times New Roman" w:cs="Times New Roman"/>
          <w:b/>
          <w:sz w:val="24"/>
          <w:szCs w:val="24"/>
          <w:vertAlign w:val="superscript"/>
        </w:rPr>
        <w:t>4</w:t>
      </w:r>
    </w:p>
    <w:p w14:paraId="2B62AAE3" w14:textId="7CE0E457" w:rsidR="005111AC" w:rsidRPr="00B14ED8" w:rsidRDefault="00D46250">
      <w:pPr>
        <w:spacing w:after="0" w:line="276" w:lineRule="auto"/>
        <w:jc w:val="center"/>
        <w:rPr>
          <w:rFonts w:ascii="Times New Roman" w:eastAsia="Times" w:hAnsi="Times New Roman" w:cs="Times New Roman"/>
          <w:b/>
          <w:sz w:val="24"/>
          <w:szCs w:val="24"/>
        </w:rPr>
      </w:pPr>
      <w:r w:rsidRPr="00B14ED8">
        <w:rPr>
          <w:rFonts w:ascii="Times New Roman" w:eastAsia="Times" w:hAnsi="Times New Roman" w:cs="Times New Roman"/>
          <w:b/>
          <w:sz w:val="24"/>
          <w:szCs w:val="24"/>
        </w:rPr>
        <w:t xml:space="preserve">Program </w:t>
      </w:r>
      <w:proofErr w:type="spellStart"/>
      <w:r w:rsidRPr="00B14ED8">
        <w:rPr>
          <w:rFonts w:ascii="Times New Roman" w:eastAsia="Times" w:hAnsi="Times New Roman" w:cs="Times New Roman"/>
          <w:b/>
          <w:sz w:val="24"/>
          <w:szCs w:val="24"/>
        </w:rPr>
        <w:t>Studi</w:t>
      </w:r>
      <w:proofErr w:type="spellEnd"/>
      <w:r w:rsidRPr="00B14ED8">
        <w:rPr>
          <w:rFonts w:ascii="Times New Roman" w:eastAsia="Times" w:hAnsi="Times New Roman" w:cs="Times New Roman"/>
          <w:b/>
          <w:sz w:val="24"/>
          <w:szCs w:val="24"/>
        </w:rPr>
        <w:t xml:space="preserve"> </w:t>
      </w:r>
      <w:proofErr w:type="spellStart"/>
      <w:r w:rsidR="00EC0D4A" w:rsidRPr="00B14ED8">
        <w:rPr>
          <w:rFonts w:ascii="Times New Roman" w:eastAsia="Times" w:hAnsi="Times New Roman" w:cs="Times New Roman"/>
          <w:b/>
          <w:sz w:val="24"/>
          <w:szCs w:val="24"/>
        </w:rPr>
        <w:t>Manajemen</w:t>
      </w:r>
      <w:proofErr w:type="spellEnd"/>
      <w:r w:rsidR="00EC0D4A" w:rsidRPr="00B14ED8">
        <w:rPr>
          <w:rFonts w:ascii="Times New Roman" w:eastAsia="Times" w:hAnsi="Times New Roman" w:cs="Times New Roman"/>
          <w:b/>
          <w:sz w:val="24"/>
          <w:szCs w:val="24"/>
        </w:rPr>
        <w:t xml:space="preserve"> </w:t>
      </w:r>
    </w:p>
    <w:p w14:paraId="0342845C" w14:textId="0BE18245" w:rsidR="005111AC" w:rsidRPr="00B14ED8" w:rsidRDefault="00E9374F">
      <w:pPr>
        <w:spacing w:after="0" w:line="276" w:lineRule="auto"/>
        <w:jc w:val="center"/>
        <w:rPr>
          <w:rFonts w:ascii="Times New Roman" w:eastAsia="Times New Roman" w:hAnsi="Times New Roman" w:cs="Times New Roman"/>
          <w:b/>
          <w:sz w:val="24"/>
          <w:szCs w:val="24"/>
        </w:rPr>
      </w:pPr>
      <w:proofErr w:type="spellStart"/>
      <w:r w:rsidRPr="00B14ED8">
        <w:rPr>
          <w:rFonts w:ascii="Times New Roman" w:eastAsia="Times" w:hAnsi="Times New Roman" w:cs="Times New Roman"/>
          <w:b/>
          <w:sz w:val="24"/>
          <w:szCs w:val="24"/>
        </w:rPr>
        <w:t>Universitas</w:t>
      </w:r>
      <w:proofErr w:type="spellEnd"/>
      <w:r w:rsidRPr="00B14ED8">
        <w:rPr>
          <w:rFonts w:ascii="Times New Roman" w:eastAsia="Times" w:hAnsi="Times New Roman" w:cs="Times New Roman"/>
          <w:b/>
          <w:sz w:val="24"/>
          <w:szCs w:val="24"/>
        </w:rPr>
        <w:t xml:space="preserve"> </w:t>
      </w:r>
      <w:proofErr w:type="spellStart"/>
      <w:r w:rsidRPr="00B14ED8">
        <w:rPr>
          <w:rFonts w:ascii="Times New Roman" w:eastAsia="Times" w:hAnsi="Times New Roman" w:cs="Times New Roman"/>
          <w:b/>
          <w:sz w:val="24"/>
          <w:szCs w:val="24"/>
        </w:rPr>
        <w:t>Muria</w:t>
      </w:r>
      <w:proofErr w:type="spellEnd"/>
      <w:r w:rsidRPr="00B14ED8">
        <w:rPr>
          <w:rFonts w:ascii="Times New Roman" w:eastAsia="Times" w:hAnsi="Times New Roman" w:cs="Times New Roman"/>
          <w:b/>
          <w:sz w:val="24"/>
          <w:szCs w:val="24"/>
        </w:rPr>
        <w:t xml:space="preserve"> Kudus</w:t>
      </w:r>
    </w:p>
    <w:p w14:paraId="29DC723F" w14:textId="77777777" w:rsidR="005111AC" w:rsidRPr="00B14ED8" w:rsidRDefault="005111AC">
      <w:pPr>
        <w:spacing w:after="0"/>
        <w:jc w:val="center"/>
        <w:rPr>
          <w:rFonts w:ascii="Times New Roman" w:eastAsia="Times New Roman" w:hAnsi="Times New Roman" w:cs="Times New Roman"/>
          <w:sz w:val="24"/>
          <w:szCs w:val="24"/>
        </w:rPr>
      </w:pPr>
    </w:p>
    <w:p w14:paraId="1EBBE49E" w14:textId="25F974B8" w:rsidR="00FB4051" w:rsidRPr="00B14ED8" w:rsidRDefault="00D46250">
      <w:pPr>
        <w:spacing w:after="0"/>
        <w:jc w:val="center"/>
        <w:rPr>
          <w:rFonts w:ascii="Times New Roman" w:eastAsia="Times" w:hAnsi="Times New Roman" w:cs="Times New Roman"/>
          <w:bCs/>
          <w:sz w:val="24"/>
          <w:szCs w:val="24"/>
          <w:u w:val="single"/>
        </w:rPr>
      </w:pPr>
      <w:r w:rsidRPr="00B14ED8">
        <w:rPr>
          <w:rFonts w:ascii="Times New Roman" w:eastAsia="Times New Roman" w:hAnsi="Times New Roman" w:cs="Times New Roman"/>
          <w:sz w:val="24"/>
          <w:szCs w:val="24"/>
        </w:rPr>
        <w:t xml:space="preserve">Email </w:t>
      </w:r>
      <w:proofErr w:type="spellStart"/>
      <w:r w:rsidRPr="00B14ED8">
        <w:rPr>
          <w:rFonts w:ascii="Times New Roman" w:eastAsia="Times New Roman" w:hAnsi="Times New Roman" w:cs="Times New Roman"/>
          <w:sz w:val="24"/>
          <w:szCs w:val="24"/>
        </w:rPr>
        <w:t>korespondensi</w:t>
      </w:r>
      <w:proofErr w:type="spellEnd"/>
      <w:r w:rsidRPr="00B14ED8">
        <w:rPr>
          <w:rFonts w:ascii="Times New Roman" w:eastAsia="Times New Roman" w:hAnsi="Times New Roman" w:cs="Times New Roman"/>
          <w:color w:val="000000" w:themeColor="text1"/>
          <w:sz w:val="24"/>
          <w:szCs w:val="24"/>
        </w:rPr>
        <w:t xml:space="preserve">: </w:t>
      </w:r>
      <w:hyperlink r:id="rId9" w:history="1">
        <w:r w:rsidR="00FB4051" w:rsidRPr="00B14ED8">
          <w:rPr>
            <w:rStyle w:val="Hyperlink"/>
            <w:rFonts w:ascii="Times New Roman" w:eastAsia="Times" w:hAnsi="Times New Roman" w:cs="Times New Roman"/>
            <w:bCs/>
            <w:color w:val="000000" w:themeColor="text1"/>
            <w:sz w:val="24"/>
            <w:szCs w:val="24"/>
          </w:rPr>
          <w:t>maulana.fajar@umk.ac.id</w:t>
        </w:r>
      </w:hyperlink>
      <w:r w:rsidR="00FB4051" w:rsidRPr="00B14ED8">
        <w:rPr>
          <w:rFonts w:ascii="Times New Roman" w:eastAsia="Times" w:hAnsi="Times New Roman" w:cs="Times New Roman"/>
          <w:bCs/>
          <w:color w:val="000000" w:themeColor="text1"/>
          <w:sz w:val="24"/>
          <w:szCs w:val="24"/>
          <w:u w:val="single"/>
          <w:vertAlign w:val="superscript"/>
        </w:rPr>
        <w:t>1</w:t>
      </w:r>
      <w:r w:rsidR="00FB4051" w:rsidRPr="00B14ED8">
        <w:rPr>
          <w:rFonts w:ascii="Times New Roman" w:eastAsia="Times" w:hAnsi="Times New Roman" w:cs="Times New Roman"/>
          <w:bCs/>
          <w:color w:val="000000" w:themeColor="text1"/>
          <w:sz w:val="24"/>
          <w:szCs w:val="24"/>
          <w:u w:val="single"/>
        </w:rPr>
        <w:t xml:space="preserve">, </w:t>
      </w:r>
      <w:hyperlink r:id="rId10" w:history="1">
        <w:r w:rsidR="00FB4051" w:rsidRPr="00B14ED8">
          <w:rPr>
            <w:rStyle w:val="Hyperlink"/>
            <w:rFonts w:ascii="Times New Roman" w:eastAsia="Times" w:hAnsi="Times New Roman" w:cs="Times New Roman"/>
            <w:bCs/>
            <w:color w:val="000000" w:themeColor="text1"/>
            <w:sz w:val="24"/>
            <w:szCs w:val="24"/>
          </w:rPr>
          <w:t>Triana.hasty@umk.ac.id</w:t>
        </w:r>
        <w:r w:rsidR="00FB4051" w:rsidRPr="00B14ED8">
          <w:rPr>
            <w:rStyle w:val="Hyperlink"/>
            <w:rFonts w:ascii="Times New Roman" w:eastAsia="Times" w:hAnsi="Times New Roman" w:cs="Times New Roman"/>
            <w:bCs/>
            <w:color w:val="000000" w:themeColor="text1"/>
            <w:sz w:val="24"/>
            <w:szCs w:val="24"/>
            <w:vertAlign w:val="superscript"/>
          </w:rPr>
          <w:t>4</w:t>
        </w:r>
      </w:hyperlink>
      <w:r w:rsidR="00FB4051" w:rsidRPr="00B14ED8">
        <w:rPr>
          <w:rFonts w:ascii="Times New Roman" w:eastAsia="Times" w:hAnsi="Times New Roman" w:cs="Times New Roman"/>
          <w:bCs/>
          <w:color w:val="000000" w:themeColor="text1"/>
          <w:sz w:val="24"/>
          <w:szCs w:val="24"/>
          <w:u w:val="single"/>
        </w:rPr>
        <w:t xml:space="preserve">, </w:t>
      </w:r>
      <w:hyperlink r:id="rId11" w:history="1">
        <w:r w:rsidR="00054167" w:rsidRPr="00B14ED8">
          <w:rPr>
            <w:rStyle w:val="Hyperlink"/>
            <w:rFonts w:ascii="Times New Roman" w:eastAsia="Times" w:hAnsi="Times New Roman" w:cs="Times New Roman"/>
            <w:bCs/>
            <w:color w:val="000000" w:themeColor="text1"/>
            <w:sz w:val="24"/>
            <w:szCs w:val="24"/>
          </w:rPr>
          <w:t>Novita.yuliana@umk.ac.id</w:t>
        </w:r>
        <w:r w:rsidR="00054167" w:rsidRPr="00B14ED8">
          <w:rPr>
            <w:rStyle w:val="Hyperlink"/>
            <w:rFonts w:ascii="Times New Roman" w:eastAsia="Times" w:hAnsi="Times New Roman" w:cs="Times New Roman"/>
            <w:bCs/>
            <w:color w:val="000000" w:themeColor="text1"/>
            <w:sz w:val="24"/>
            <w:szCs w:val="24"/>
            <w:vertAlign w:val="superscript"/>
          </w:rPr>
          <w:t>3</w:t>
        </w:r>
      </w:hyperlink>
      <w:r w:rsidR="00FB4051" w:rsidRPr="00B14ED8">
        <w:rPr>
          <w:rFonts w:ascii="Times New Roman" w:eastAsia="Times" w:hAnsi="Times New Roman" w:cs="Times New Roman"/>
          <w:bCs/>
          <w:color w:val="000000" w:themeColor="text1"/>
          <w:sz w:val="24"/>
          <w:szCs w:val="24"/>
          <w:u w:val="single"/>
        </w:rPr>
        <w:t>,</w:t>
      </w:r>
      <w:r w:rsidR="00CE7BCF" w:rsidRPr="00B14ED8">
        <w:rPr>
          <w:rFonts w:ascii="Times New Roman" w:eastAsia="Times" w:hAnsi="Times New Roman" w:cs="Times New Roman"/>
          <w:bCs/>
          <w:color w:val="000000" w:themeColor="text1"/>
          <w:sz w:val="24"/>
          <w:szCs w:val="24"/>
          <w:u w:val="single"/>
        </w:rPr>
        <w:t xml:space="preserve"> </w:t>
      </w:r>
      <w:hyperlink r:id="rId12" w:history="1">
        <w:r w:rsidR="00FB4051" w:rsidRPr="00B14ED8">
          <w:rPr>
            <w:rStyle w:val="Hyperlink"/>
            <w:rFonts w:ascii="Times New Roman" w:eastAsia="Times" w:hAnsi="Times New Roman" w:cs="Times New Roman"/>
            <w:bCs/>
            <w:color w:val="000000" w:themeColor="text1"/>
            <w:sz w:val="24"/>
            <w:szCs w:val="24"/>
          </w:rPr>
          <w:t>dwipuji.ratnawati@umk.ac.id</w:t>
        </w:r>
      </w:hyperlink>
      <w:r w:rsidR="00FB4051" w:rsidRPr="00B14ED8">
        <w:rPr>
          <w:rFonts w:ascii="Times New Roman" w:eastAsia="Times" w:hAnsi="Times New Roman" w:cs="Times New Roman"/>
          <w:bCs/>
          <w:color w:val="000000" w:themeColor="text1"/>
          <w:sz w:val="24"/>
          <w:szCs w:val="24"/>
          <w:u w:val="single"/>
          <w:vertAlign w:val="superscript"/>
        </w:rPr>
        <w:t>2</w:t>
      </w:r>
      <w:r w:rsidR="00FB4051" w:rsidRPr="00B14ED8">
        <w:rPr>
          <w:rFonts w:ascii="Times New Roman" w:eastAsia="Times" w:hAnsi="Times New Roman" w:cs="Times New Roman"/>
          <w:bCs/>
          <w:color w:val="000000" w:themeColor="text1"/>
          <w:sz w:val="24"/>
          <w:szCs w:val="24"/>
          <w:u w:val="single"/>
        </w:rPr>
        <w:t>,</w:t>
      </w:r>
    </w:p>
    <w:p w14:paraId="6DD0887E" w14:textId="19EE87B9" w:rsidR="005111AC" w:rsidRPr="00B14ED8" w:rsidRDefault="005111AC">
      <w:pPr>
        <w:spacing w:after="0"/>
        <w:jc w:val="center"/>
        <w:rPr>
          <w:rFonts w:ascii="Times New Roman" w:eastAsia="Times New Roman" w:hAnsi="Times New Roman" w:cs="Times New Roman"/>
          <w:sz w:val="24"/>
          <w:szCs w:val="24"/>
        </w:rPr>
      </w:pPr>
    </w:p>
    <w:p w14:paraId="27F0FBD4" w14:textId="53BD80F7" w:rsidR="00705569" w:rsidRPr="00AB7297" w:rsidRDefault="00705569" w:rsidP="00705569">
      <w:pPr>
        <w:tabs>
          <w:tab w:val="left" w:pos="2410"/>
        </w:tabs>
        <w:spacing w:after="0" w:line="240" w:lineRule="auto"/>
        <w:jc w:val="center"/>
        <w:rPr>
          <w:rFonts w:ascii="Times New Roman" w:eastAsia="Times New Roman" w:hAnsi="Times New Roman" w:cs="Times New Roman"/>
          <w:i/>
          <w:sz w:val="24"/>
          <w:szCs w:val="24"/>
          <w:lang w:val="id-ID"/>
        </w:rPr>
      </w:pPr>
      <w:r w:rsidRPr="00B14ED8">
        <w:rPr>
          <w:rFonts w:ascii="Times New Roman" w:eastAsia="Times New Roman" w:hAnsi="Times New Roman" w:cs="Times New Roman"/>
          <w:i/>
          <w:sz w:val="24"/>
          <w:szCs w:val="24"/>
        </w:rPr>
        <w:t xml:space="preserve">Received: 16-02-2024   Reviewed: 20-02-2024 </w:t>
      </w:r>
      <w:r w:rsidRPr="00AB7297">
        <w:rPr>
          <w:rFonts w:ascii="Times New Roman" w:eastAsia="Times New Roman" w:hAnsi="Times New Roman" w:cs="Times New Roman"/>
          <w:i/>
          <w:sz w:val="24"/>
          <w:szCs w:val="24"/>
        </w:rPr>
        <w:t>Accepted:</w:t>
      </w:r>
      <w:r w:rsidR="00AB7297" w:rsidRPr="00AB7297">
        <w:rPr>
          <w:rFonts w:ascii="Times New Roman" w:eastAsia="Times New Roman" w:hAnsi="Times New Roman" w:cs="Times New Roman"/>
          <w:i/>
          <w:sz w:val="24"/>
          <w:szCs w:val="24"/>
          <w:lang w:val="id-ID"/>
        </w:rPr>
        <w:t xml:space="preserve"> 23-02-2024 </w:t>
      </w:r>
      <w:r w:rsidRPr="00AB7297">
        <w:rPr>
          <w:rFonts w:ascii="Times New Roman" w:eastAsia="Times New Roman" w:hAnsi="Times New Roman" w:cs="Times New Roman"/>
          <w:i/>
          <w:sz w:val="24"/>
          <w:szCs w:val="24"/>
        </w:rPr>
        <w:t xml:space="preserve">Published: </w:t>
      </w:r>
      <w:r w:rsidR="00AB7297">
        <w:rPr>
          <w:rFonts w:ascii="Times New Roman" w:eastAsia="Times New Roman" w:hAnsi="Times New Roman" w:cs="Times New Roman"/>
          <w:i/>
          <w:sz w:val="24"/>
          <w:szCs w:val="24"/>
          <w:lang w:val="id-ID"/>
        </w:rPr>
        <w:t>28-02-2024</w:t>
      </w:r>
    </w:p>
    <w:p w14:paraId="6ED97882" w14:textId="77777777" w:rsidR="00705569" w:rsidRPr="00B14ED8" w:rsidRDefault="00705569">
      <w:pPr>
        <w:spacing w:after="0"/>
        <w:jc w:val="center"/>
        <w:rPr>
          <w:rFonts w:ascii="Times New Roman" w:eastAsia="Times New Roman" w:hAnsi="Times New Roman" w:cs="Times New Roman"/>
          <w:sz w:val="24"/>
          <w:szCs w:val="24"/>
        </w:rPr>
      </w:pPr>
    </w:p>
    <w:p w14:paraId="56340187" w14:textId="77777777" w:rsidR="005111AC" w:rsidRPr="00B14ED8" w:rsidRDefault="00D46250" w:rsidP="00B14ED8">
      <w:pPr>
        <w:spacing w:after="0" w:line="240" w:lineRule="auto"/>
        <w:jc w:val="center"/>
        <w:rPr>
          <w:rFonts w:ascii="Times New Roman" w:eastAsia="Times New Roman" w:hAnsi="Times New Roman" w:cs="Times New Roman"/>
          <w:b/>
          <w:i/>
          <w:sz w:val="24"/>
          <w:szCs w:val="24"/>
        </w:rPr>
      </w:pPr>
      <w:r w:rsidRPr="00B14ED8">
        <w:rPr>
          <w:rFonts w:ascii="Times New Roman" w:eastAsia="Times New Roman" w:hAnsi="Times New Roman" w:cs="Times New Roman"/>
          <w:b/>
          <w:i/>
          <w:sz w:val="24"/>
          <w:szCs w:val="24"/>
        </w:rPr>
        <w:t>ABSTRACT</w:t>
      </w:r>
    </w:p>
    <w:p w14:paraId="24E720B4" w14:textId="77777777" w:rsidR="004C75D5" w:rsidRPr="00B14ED8" w:rsidRDefault="004C75D5" w:rsidP="00B14ED8">
      <w:pPr>
        <w:spacing w:after="0" w:line="240" w:lineRule="auto"/>
        <w:jc w:val="both"/>
        <w:rPr>
          <w:rFonts w:ascii="Times New Roman" w:eastAsia="Times" w:hAnsi="Times New Roman" w:cs="Times New Roman"/>
          <w:sz w:val="24"/>
          <w:szCs w:val="24"/>
        </w:rPr>
      </w:pPr>
    </w:p>
    <w:p w14:paraId="5605233D" w14:textId="77777777" w:rsidR="00016EA2" w:rsidRPr="00B14ED8" w:rsidRDefault="00016EA2" w:rsidP="00B14ED8">
      <w:pPr>
        <w:spacing w:after="0" w:line="240" w:lineRule="auto"/>
        <w:jc w:val="both"/>
        <w:rPr>
          <w:rFonts w:ascii="Times New Roman" w:eastAsia="Times" w:hAnsi="Times New Roman" w:cs="Times New Roman"/>
          <w:i/>
          <w:iCs/>
          <w:sz w:val="24"/>
          <w:szCs w:val="24"/>
        </w:rPr>
      </w:pPr>
      <w:r w:rsidRPr="00B14ED8">
        <w:rPr>
          <w:rFonts w:ascii="Times New Roman" w:eastAsia="Times" w:hAnsi="Times New Roman" w:cs="Times New Roman"/>
          <w:i/>
          <w:iCs/>
          <w:sz w:val="24"/>
          <w:szCs w:val="24"/>
        </w:rPr>
        <w:t>Profit Loss Sharing (PLS) plays a crucial role in determining the potential value of profits in Islamic banking. The PLS profit-sharing system indicates the success or failure in the financing investments undertaken by the banks. To generate profits from the financing investments, it is essential to have a reliable and sustainable risk management. In this study, the risk management variable will be comprehensively examined in relation to its impact on supporting the implementation of PLS systems (</w:t>
      </w:r>
      <w:proofErr w:type="spellStart"/>
      <w:r w:rsidRPr="00B14ED8">
        <w:rPr>
          <w:rFonts w:ascii="Times New Roman" w:eastAsia="Times" w:hAnsi="Times New Roman" w:cs="Times New Roman"/>
          <w:i/>
          <w:iCs/>
          <w:sz w:val="24"/>
          <w:szCs w:val="24"/>
        </w:rPr>
        <w:t>mudharabah</w:t>
      </w:r>
      <w:proofErr w:type="spellEnd"/>
      <w:r w:rsidRPr="00B14ED8">
        <w:rPr>
          <w:rFonts w:ascii="Times New Roman" w:eastAsia="Times" w:hAnsi="Times New Roman" w:cs="Times New Roman"/>
          <w:i/>
          <w:iCs/>
          <w:sz w:val="24"/>
          <w:szCs w:val="24"/>
        </w:rPr>
        <w:t xml:space="preserve"> and </w:t>
      </w:r>
      <w:proofErr w:type="spellStart"/>
      <w:r w:rsidRPr="00B14ED8">
        <w:rPr>
          <w:rFonts w:ascii="Times New Roman" w:eastAsia="Times" w:hAnsi="Times New Roman" w:cs="Times New Roman"/>
          <w:i/>
          <w:iCs/>
          <w:sz w:val="24"/>
          <w:szCs w:val="24"/>
        </w:rPr>
        <w:t>musyarakah</w:t>
      </w:r>
      <w:proofErr w:type="spellEnd"/>
      <w:r w:rsidRPr="00B14ED8">
        <w:rPr>
          <w:rFonts w:ascii="Times New Roman" w:eastAsia="Times" w:hAnsi="Times New Roman" w:cs="Times New Roman"/>
          <w:i/>
          <w:iCs/>
          <w:sz w:val="24"/>
          <w:szCs w:val="24"/>
        </w:rPr>
        <w:t xml:space="preserve">) on financial performance. The analytical method employed is quantitative analysis with the support of the E-Views application program. The research sample includes 11 Islamic commercial banks in Indonesia, with an observation period from 2017 to 2022. The research analysis results demonstrate that </w:t>
      </w:r>
      <w:proofErr w:type="spellStart"/>
      <w:r w:rsidRPr="00B14ED8">
        <w:rPr>
          <w:rFonts w:ascii="Times New Roman" w:eastAsia="Times" w:hAnsi="Times New Roman" w:cs="Times New Roman"/>
          <w:i/>
          <w:iCs/>
          <w:sz w:val="24"/>
          <w:szCs w:val="24"/>
        </w:rPr>
        <w:t>mudharabah</w:t>
      </w:r>
      <w:proofErr w:type="spellEnd"/>
      <w:r w:rsidRPr="00B14ED8">
        <w:rPr>
          <w:rFonts w:ascii="Times New Roman" w:eastAsia="Times" w:hAnsi="Times New Roman" w:cs="Times New Roman"/>
          <w:i/>
          <w:iCs/>
          <w:sz w:val="24"/>
          <w:szCs w:val="24"/>
        </w:rPr>
        <w:t xml:space="preserve"> financing and </w:t>
      </w:r>
      <w:proofErr w:type="spellStart"/>
      <w:r w:rsidRPr="00B14ED8">
        <w:rPr>
          <w:rFonts w:ascii="Times New Roman" w:eastAsia="Times" w:hAnsi="Times New Roman" w:cs="Times New Roman"/>
          <w:i/>
          <w:iCs/>
          <w:sz w:val="24"/>
          <w:szCs w:val="24"/>
        </w:rPr>
        <w:t>musyarakah</w:t>
      </w:r>
      <w:proofErr w:type="spellEnd"/>
      <w:r w:rsidRPr="00B14ED8">
        <w:rPr>
          <w:rFonts w:ascii="Times New Roman" w:eastAsia="Times" w:hAnsi="Times New Roman" w:cs="Times New Roman"/>
          <w:i/>
          <w:iCs/>
          <w:sz w:val="24"/>
          <w:szCs w:val="24"/>
        </w:rPr>
        <w:t xml:space="preserve"> financing have a positive influence on financial performance. Risk management weakens the influence of </w:t>
      </w:r>
      <w:proofErr w:type="spellStart"/>
      <w:r w:rsidRPr="00B14ED8">
        <w:rPr>
          <w:rFonts w:ascii="Times New Roman" w:eastAsia="Times" w:hAnsi="Times New Roman" w:cs="Times New Roman"/>
          <w:i/>
          <w:iCs/>
          <w:sz w:val="24"/>
          <w:szCs w:val="24"/>
        </w:rPr>
        <w:t>mudharabah</w:t>
      </w:r>
      <w:proofErr w:type="spellEnd"/>
      <w:r w:rsidRPr="00B14ED8">
        <w:rPr>
          <w:rFonts w:ascii="Times New Roman" w:eastAsia="Times" w:hAnsi="Times New Roman" w:cs="Times New Roman"/>
          <w:i/>
          <w:iCs/>
          <w:sz w:val="24"/>
          <w:szCs w:val="24"/>
        </w:rPr>
        <w:t xml:space="preserve"> financing and </w:t>
      </w:r>
      <w:proofErr w:type="spellStart"/>
      <w:r w:rsidRPr="00B14ED8">
        <w:rPr>
          <w:rFonts w:ascii="Times New Roman" w:eastAsia="Times" w:hAnsi="Times New Roman" w:cs="Times New Roman"/>
          <w:i/>
          <w:iCs/>
          <w:sz w:val="24"/>
          <w:szCs w:val="24"/>
        </w:rPr>
        <w:t>musyarakah</w:t>
      </w:r>
      <w:proofErr w:type="spellEnd"/>
      <w:r w:rsidRPr="00B14ED8">
        <w:rPr>
          <w:rFonts w:ascii="Times New Roman" w:eastAsia="Times" w:hAnsi="Times New Roman" w:cs="Times New Roman"/>
          <w:i/>
          <w:iCs/>
          <w:sz w:val="24"/>
          <w:szCs w:val="24"/>
        </w:rPr>
        <w:t xml:space="preserve"> financing on financial performance. In terms of direct influence, risk management exerts the strongest impact compared to </w:t>
      </w:r>
      <w:proofErr w:type="spellStart"/>
      <w:r w:rsidRPr="00B14ED8">
        <w:rPr>
          <w:rFonts w:ascii="Times New Roman" w:eastAsia="Times" w:hAnsi="Times New Roman" w:cs="Times New Roman"/>
          <w:i/>
          <w:iCs/>
          <w:sz w:val="24"/>
          <w:szCs w:val="24"/>
        </w:rPr>
        <w:t>mudharabah</w:t>
      </w:r>
      <w:proofErr w:type="spellEnd"/>
      <w:r w:rsidRPr="00B14ED8">
        <w:rPr>
          <w:rFonts w:ascii="Times New Roman" w:eastAsia="Times" w:hAnsi="Times New Roman" w:cs="Times New Roman"/>
          <w:i/>
          <w:iCs/>
          <w:sz w:val="24"/>
          <w:szCs w:val="24"/>
        </w:rPr>
        <w:t xml:space="preserve"> financing and </w:t>
      </w:r>
      <w:proofErr w:type="spellStart"/>
      <w:r w:rsidRPr="00B14ED8">
        <w:rPr>
          <w:rFonts w:ascii="Times New Roman" w:eastAsia="Times" w:hAnsi="Times New Roman" w:cs="Times New Roman"/>
          <w:i/>
          <w:iCs/>
          <w:sz w:val="24"/>
          <w:szCs w:val="24"/>
        </w:rPr>
        <w:t>musyarakah</w:t>
      </w:r>
      <w:proofErr w:type="spellEnd"/>
      <w:r w:rsidRPr="00B14ED8">
        <w:rPr>
          <w:rFonts w:ascii="Times New Roman" w:eastAsia="Times" w:hAnsi="Times New Roman" w:cs="Times New Roman"/>
          <w:i/>
          <w:iCs/>
          <w:sz w:val="24"/>
          <w:szCs w:val="24"/>
        </w:rPr>
        <w:t xml:space="preserve"> financing. </w:t>
      </w:r>
      <w:proofErr w:type="spellStart"/>
      <w:r w:rsidRPr="00B14ED8">
        <w:rPr>
          <w:rFonts w:ascii="Times New Roman" w:eastAsia="Times" w:hAnsi="Times New Roman" w:cs="Times New Roman"/>
          <w:i/>
          <w:iCs/>
          <w:sz w:val="24"/>
          <w:szCs w:val="24"/>
        </w:rPr>
        <w:t>Mudharabah</w:t>
      </w:r>
      <w:proofErr w:type="spellEnd"/>
      <w:r w:rsidRPr="00B14ED8">
        <w:rPr>
          <w:rFonts w:ascii="Times New Roman" w:eastAsia="Times" w:hAnsi="Times New Roman" w:cs="Times New Roman"/>
          <w:i/>
          <w:iCs/>
          <w:sz w:val="24"/>
          <w:szCs w:val="24"/>
        </w:rPr>
        <w:t xml:space="preserve"> financing has the smallest impact on the value of financial performance.</w:t>
      </w:r>
    </w:p>
    <w:p w14:paraId="27D71016" w14:textId="77777777" w:rsidR="00016EA2" w:rsidRPr="00B14ED8" w:rsidRDefault="00016EA2" w:rsidP="00B14ED8">
      <w:pPr>
        <w:spacing w:after="0" w:line="240" w:lineRule="auto"/>
        <w:jc w:val="both"/>
        <w:rPr>
          <w:rFonts w:ascii="Times New Roman" w:eastAsia="Times" w:hAnsi="Times New Roman" w:cs="Times New Roman"/>
          <w:sz w:val="24"/>
          <w:szCs w:val="24"/>
        </w:rPr>
      </w:pPr>
    </w:p>
    <w:p w14:paraId="7646C446" w14:textId="1E25B680" w:rsidR="005111AC" w:rsidRPr="00B14ED8" w:rsidRDefault="00D46250" w:rsidP="00B14ED8">
      <w:pPr>
        <w:spacing w:after="0" w:line="240" w:lineRule="auto"/>
        <w:jc w:val="both"/>
        <w:rPr>
          <w:rFonts w:ascii="Times New Roman" w:eastAsia="Times New Roman" w:hAnsi="Times New Roman" w:cs="Times New Roman"/>
          <w:i/>
          <w:sz w:val="24"/>
          <w:szCs w:val="24"/>
        </w:rPr>
      </w:pPr>
      <w:r w:rsidRPr="00B14ED8">
        <w:rPr>
          <w:rFonts w:ascii="Times New Roman" w:eastAsia="Times" w:hAnsi="Times New Roman" w:cs="Times New Roman"/>
          <w:b/>
          <w:i/>
          <w:sz w:val="24"/>
          <w:szCs w:val="24"/>
        </w:rPr>
        <w:t>Keywords</w:t>
      </w:r>
      <w:r w:rsidRPr="00B14ED8">
        <w:rPr>
          <w:rFonts w:ascii="Times New Roman" w:eastAsia="Times" w:hAnsi="Times New Roman" w:cs="Times New Roman"/>
          <w:sz w:val="24"/>
          <w:szCs w:val="24"/>
        </w:rPr>
        <w:t xml:space="preserve">: </w:t>
      </w:r>
      <w:r w:rsidR="004C75D5" w:rsidRPr="00B14ED8">
        <w:rPr>
          <w:rFonts w:ascii="Times New Roman" w:eastAsia="Times" w:hAnsi="Times New Roman" w:cs="Times New Roman"/>
          <w:i/>
          <w:iCs/>
          <w:sz w:val="24"/>
          <w:szCs w:val="24"/>
        </w:rPr>
        <w:t xml:space="preserve">Profit Loss Sharing, </w:t>
      </w:r>
      <w:proofErr w:type="spellStart"/>
      <w:r w:rsidR="004C75D5" w:rsidRPr="00B14ED8">
        <w:rPr>
          <w:rFonts w:ascii="Times New Roman" w:eastAsia="Times" w:hAnsi="Times New Roman" w:cs="Times New Roman"/>
          <w:i/>
          <w:iCs/>
          <w:sz w:val="24"/>
          <w:szCs w:val="24"/>
        </w:rPr>
        <w:t>Mudharabah</w:t>
      </w:r>
      <w:proofErr w:type="spellEnd"/>
      <w:r w:rsidR="004C75D5" w:rsidRPr="00B14ED8">
        <w:rPr>
          <w:rFonts w:ascii="Times New Roman" w:eastAsia="Times" w:hAnsi="Times New Roman" w:cs="Times New Roman"/>
          <w:i/>
          <w:iCs/>
          <w:sz w:val="24"/>
          <w:szCs w:val="24"/>
        </w:rPr>
        <w:t xml:space="preserve">, </w:t>
      </w:r>
      <w:proofErr w:type="spellStart"/>
      <w:r w:rsidR="004C75D5" w:rsidRPr="00B14ED8">
        <w:rPr>
          <w:rFonts w:ascii="Times New Roman" w:eastAsia="Times" w:hAnsi="Times New Roman" w:cs="Times New Roman"/>
          <w:i/>
          <w:iCs/>
          <w:sz w:val="24"/>
          <w:szCs w:val="24"/>
        </w:rPr>
        <w:t>Musyarakah</w:t>
      </w:r>
      <w:proofErr w:type="spellEnd"/>
      <w:r w:rsidR="004C75D5" w:rsidRPr="00B14ED8">
        <w:rPr>
          <w:rFonts w:ascii="Times New Roman" w:eastAsia="Times" w:hAnsi="Times New Roman" w:cs="Times New Roman"/>
          <w:i/>
          <w:iCs/>
          <w:sz w:val="24"/>
          <w:szCs w:val="24"/>
        </w:rPr>
        <w:t>, Risk Management</w:t>
      </w:r>
    </w:p>
    <w:p w14:paraId="13E4B156" w14:textId="6157A417" w:rsidR="005111AC" w:rsidRPr="00B14ED8" w:rsidRDefault="005111AC" w:rsidP="00B14ED8">
      <w:pPr>
        <w:spacing w:after="0" w:line="240" w:lineRule="auto"/>
        <w:jc w:val="both"/>
        <w:rPr>
          <w:rFonts w:ascii="Times New Roman" w:eastAsia="Times New Roman" w:hAnsi="Times New Roman" w:cs="Times New Roman"/>
          <w:i/>
          <w:sz w:val="24"/>
          <w:szCs w:val="24"/>
        </w:rPr>
      </w:pPr>
    </w:p>
    <w:p w14:paraId="4773E61E" w14:textId="76DD5EAF" w:rsidR="005111AC" w:rsidRPr="00B14ED8" w:rsidRDefault="00D46250" w:rsidP="00B14ED8">
      <w:pPr>
        <w:spacing w:after="0" w:line="240" w:lineRule="auto"/>
        <w:jc w:val="center"/>
        <w:rPr>
          <w:rFonts w:ascii="Times New Roman" w:eastAsia="Times New Roman" w:hAnsi="Times New Roman" w:cs="Times New Roman"/>
          <w:b/>
          <w:sz w:val="24"/>
          <w:szCs w:val="24"/>
        </w:rPr>
      </w:pPr>
      <w:r w:rsidRPr="00B14ED8">
        <w:rPr>
          <w:rFonts w:ascii="Times New Roman" w:eastAsia="Times New Roman" w:hAnsi="Times New Roman" w:cs="Times New Roman"/>
          <w:b/>
          <w:sz w:val="24"/>
          <w:szCs w:val="24"/>
        </w:rPr>
        <w:t>ABSTRAK</w:t>
      </w:r>
    </w:p>
    <w:p w14:paraId="444FD761" w14:textId="7821A46E" w:rsidR="005111AC" w:rsidRPr="00B14ED8" w:rsidRDefault="005111AC" w:rsidP="00B14ED8">
      <w:pPr>
        <w:spacing w:after="0" w:line="240" w:lineRule="auto"/>
        <w:jc w:val="both"/>
        <w:rPr>
          <w:rFonts w:ascii="Times New Roman" w:eastAsia="Times New Roman" w:hAnsi="Times New Roman" w:cs="Times New Roman"/>
          <w:sz w:val="24"/>
          <w:szCs w:val="24"/>
        </w:rPr>
      </w:pPr>
    </w:p>
    <w:p w14:paraId="398ABD4C" w14:textId="075FAFD5" w:rsidR="007F4CBC" w:rsidRPr="00B14ED8" w:rsidRDefault="00B85C8F" w:rsidP="00B14ED8">
      <w:pPr>
        <w:spacing w:after="0" w:line="240" w:lineRule="auto"/>
        <w:jc w:val="both"/>
        <w:rPr>
          <w:rFonts w:ascii="Times New Roman" w:eastAsia="Times" w:hAnsi="Times New Roman" w:cs="Times New Roman"/>
          <w:sz w:val="24"/>
          <w:szCs w:val="24"/>
        </w:rPr>
      </w:pPr>
      <w:r w:rsidRPr="00B14ED8">
        <w:rPr>
          <w:rFonts w:ascii="Times New Roman" w:eastAsia="Times" w:hAnsi="Times New Roman" w:cs="Times New Roman"/>
          <w:i/>
          <w:iCs/>
          <w:sz w:val="24"/>
          <w:szCs w:val="24"/>
        </w:rPr>
        <w:t>Profit loss sharing</w:t>
      </w:r>
      <w:r w:rsidR="00AD7076" w:rsidRPr="00B14ED8">
        <w:rPr>
          <w:rFonts w:ascii="Times New Roman" w:eastAsia="Times" w:hAnsi="Times New Roman" w:cs="Times New Roman"/>
          <w:i/>
          <w:iCs/>
          <w:sz w:val="24"/>
          <w:szCs w:val="24"/>
        </w:rPr>
        <w:t xml:space="preserve"> </w:t>
      </w:r>
      <w:proofErr w:type="spellStart"/>
      <w:r w:rsidR="00AD7076" w:rsidRPr="00B14ED8">
        <w:rPr>
          <w:rFonts w:ascii="Times New Roman" w:eastAsia="Times" w:hAnsi="Times New Roman" w:cs="Times New Roman"/>
          <w:sz w:val="24"/>
          <w:szCs w:val="24"/>
        </w:rPr>
        <w:t>atau</w:t>
      </w:r>
      <w:proofErr w:type="spellEnd"/>
      <w:r w:rsidR="00AD7076" w:rsidRPr="00B14ED8">
        <w:rPr>
          <w:rFonts w:ascii="Times New Roman" w:eastAsia="Times" w:hAnsi="Times New Roman" w:cs="Times New Roman"/>
          <w:sz w:val="24"/>
          <w:szCs w:val="24"/>
        </w:rPr>
        <w:t xml:space="preserve"> PLS</w:t>
      </w:r>
      <w:r w:rsidR="00DC7E4A" w:rsidRPr="00B14ED8">
        <w:rPr>
          <w:rFonts w:ascii="Times New Roman" w:eastAsia="Times" w:hAnsi="Times New Roman" w:cs="Times New Roman"/>
          <w:i/>
          <w:iCs/>
          <w:sz w:val="24"/>
          <w:szCs w:val="24"/>
        </w:rPr>
        <w:t xml:space="preserve"> </w:t>
      </w:r>
      <w:proofErr w:type="spellStart"/>
      <w:r w:rsidR="00DC7E4A" w:rsidRPr="00B14ED8">
        <w:rPr>
          <w:rFonts w:ascii="Times New Roman" w:eastAsia="Times" w:hAnsi="Times New Roman" w:cs="Times New Roman"/>
          <w:sz w:val="24"/>
          <w:szCs w:val="24"/>
        </w:rPr>
        <w:t>berperan</w:t>
      </w:r>
      <w:proofErr w:type="spellEnd"/>
      <w:r w:rsidR="00DC7E4A" w:rsidRPr="00B14ED8">
        <w:rPr>
          <w:rFonts w:ascii="Times New Roman" w:eastAsia="Times" w:hAnsi="Times New Roman" w:cs="Times New Roman"/>
          <w:sz w:val="24"/>
          <w:szCs w:val="24"/>
        </w:rPr>
        <w:t xml:space="preserve"> </w:t>
      </w:r>
      <w:proofErr w:type="spellStart"/>
      <w:r w:rsidR="00DC7E4A" w:rsidRPr="00B14ED8">
        <w:rPr>
          <w:rFonts w:ascii="Times New Roman" w:eastAsia="Times" w:hAnsi="Times New Roman" w:cs="Times New Roman"/>
          <w:sz w:val="24"/>
          <w:szCs w:val="24"/>
        </w:rPr>
        <w:t>krusial</w:t>
      </w:r>
      <w:proofErr w:type="spellEnd"/>
      <w:r w:rsidR="00DC7E4A" w:rsidRPr="00B14ED8">
        <w:rPr>
          <w:rFonts w:ascii="Times New Roman" w:eastAsia="Times" w:hAnsi="Times New Roman" w:cs="Times New Roman"/>
          <w:sz w:val="24"/>
          <w:szCs w:val="24"/>
        </w:rPr>
        <w:t xml:space="preserve"> </w:t>
      </w:r>
      <w:proofErr w:type="spellStart"/>
      <w:r w:rsidR="00954CCD" w:rsidRPr="00B14ED8">
        <w:rPr>
          <w:rFonts w:ascii="Times New Roman" w:eastAsia="Times" w:hAnsi="Times New Roman" w:cs="Times New Roman"/>
          <w:sz w:val="24"/>
          <w:szCs w:val="24"/>
        </w:rPr>
        <w:t>dalam</w:t>
      </w:r>
      <w:proofErr w:type="spellEnd"/>
      <w:r w:rsidR="00954CCD" w:rsidRPr="00B14ED8">
        <w:rPr>
          <w:rFonts w:ascii="Times New Roman" w:eastAsia="Times" w:hAnsi="Times New Roman" w:cs="Times New Roman"/>
          <w:sz w:val="24"/>
          <w:szCs w:val="24"/>
        </w:rPr>
        <w:t xml:space="preserve"> </w:t>
      </w:r>
      <w:proofErr w:type="spellStart"/>
      <w:r w:rsidR="00954CCD" w:rsidRPr="00B14ED8">
        <w:rPr>
          <w:rFonts w:ascii="Times New Roman" w:eastAsia="Times" w:hAnsi="Times New Roman" w:cs="Times New Roman"/>
          <w:sz w:val="24"/>
          <w:szCs w:val="24"/>
        </w:rPr>
        <w:t>menentukan</w:t>
      </w:r>
      <w:proofErr w:type="spellEnd"/>
      <w:r w:rsidR="00954CCD" w:rsidRPr="00B14ED8">
        <w:rPr>
          <w:rFonts w:ascii="Times New Roman" w:eastAsia="Times" w:hAnsi="Times New Roman" w:cs="Times New Roman"/>
          <w:sz w:val="24"/>
          <w:szCs w:val="24"/>
        </w:rPr>
        <w:t xml:space="preserve"> </w:t>
      </w:r>
      <w:proofErr w:type="spellStart"/>
      <w:r w:rsidR="00954CCD" w:rsidRPr="00B14ED8">
        <w:rPr>
          <w:rFonts w:ascii="Times New Roman" w:eastAsia="Times" w:hAnsi="Times New Roman" w:cs="Times New Roman"/>
          <w:sz w:val="24"/>
          <w:szCs w:val="24"/>
        </w:rPr>
        <w:t>potensi</w:t>
      </w:r>
      <w:proofErr w:type="spellEnd"/>
      <w:r w:rsidR="00954CCD" w:rsidRPr="00B14ED8">
        <w:rPr>
          <w:rFonts w:ascii="Times New Roman" w:eastAsia="Times" w:hAnsi="Times New Roman" w:cs="Times New Roman"/>
          <w:sz w:val="24"/>
          <w:szCs w:val="24"/>
        </w:rPr>
        <w:t xml:space="preserve"> </w:t>
      </w:r>
      <w:proofErr w:type="spellStart"/>
      <w:r w:rsidR="00954CCD" w:rsidRPr="00B14ED8">
        <w:rPr>
          <w:rFonts w:ascii="Times New Roman" w:eastAsia="Times" w:hAnsi="Times New Roman" w:cs="Times New Roman"/>
          <w:sz w:val="24"/>
          <w:szCs w:val="24"/>
        </w:rPr>
        <w:t>nilai</w:t>
      </w:r>
      <w:proofErr w:type="spellEnd"/>
      <w:r w:rsidR="00954CCD" w:rsidRPr="00B14ED8">
        <w:rPr>
          <w:rFonts w:ascii="Times New Roman" w:eastAsia="Times" w:hAnsi="Times New Roman" w:cs="Times New Roman"/>
          <w:sz w:val="24"/>
          <w:szCs w:val="24"/>
        </w:rPr>
        <w:t xml:space="preserve"> </w:t>
      </w:r>
      <w:proofErr w:type="spellStart"/>
      <w:r w:rsidR="00954CCD" w:rsidRPr="00B14ED8">
        <w:rPr>
          <w:rFonts w:ascii="Times New Roman" w:eastAsia="Times" w:hAnsi="Times New Roman" w:cs="Times New Roman"/>
          <w:sz w:val="24"/>
          <w:szCs w:val="24"/>
        </w:rPr>
        <w:t>laba</w:t>
      </w:r>
      <w:proofErr w:type="spellEnd"/>
      <w:r w:rsidR="00954CCD" w:rsidRPr="00B14ED8">
        <w:rPr>
          <w:rFonts w:ascii="Times New Roman" w:eastAsia="Times" w:hAnsi="Times New Roman" w:cs="Times New Roman"/>
          <w:sz w:val="24"/>
          <w:szCs w:val="24"/>
        </w:rPr>
        <w:t xml:space="preserve"> </w:t>
      </w:r>
      <w:proofErr w:type="spellStart"/>
      <w:r w:rsidR="00954CCD" w:rsidRPr="00B14ED8">
        <w:rPr>
          <w:rFonts w:ascii="Times New Roman" w:eastAsia="Times" w:hAnsi="Times New Roman" w:cs="Times New Roman"/>
          <w:sz w:val="24"/>
          <w:szCs w:val="24"/>
        </w:rPr>
        <w:t>perbankan</w:t>
      </w:r>
      <w:proofErr w:type="spellEnd"/>
      <w:r w:rsidR="00954CCD" w:rsidRPr="00B14ED8">
        <w:rPr>
          <w:rFonts w:ascii="Times New Roman" w:eastAsia="Times" w:hAnsi="Times New Roman" w:cs="Times New Roman"/>
          <w:sz w:val="24"/>
          <w:szCs w:val="24"/>
        </w:rPr>
        <w:t xml:space="preserve"> </w:t>
      </w:r>
      <w:proofErr w:type="spellStart"/>
      <w:r w:rsidR="00954CCD" w:rsidRPr="00B14ED8">
        <w:rPr>
          <w:rFonts w:ascii="Times New Roman" w:eastAsia="Times" w:hAnsi="Times New Roman" w:cs="Times New Roman"/>
          <w:sz w:val="24"/>
          <w:szCs w:val="24"/>
        </w:rPr>
        <w:t>syariah</w:t>
      </w:r>
      <w:proofErr w:type="spellEnd"/>
      <w:r w:rsidR="00C70DEA" w:rsidRPr="00B14ED8">
        <w:rPr>
          <w:rFonts w:ascii="Times New Roman" w:eastAsia="Times" w:hAnsi="Times New Roman" w:cs="Times New Roman"/>
          <w:sz w:val="24"/>
          <w:szCs w:val="24"/>
        </w:rPr>
        <w:t xml:space="preserve">. </w:t>
      </w:r>
      <w:proofErr w:type="spellStart"/>
      <w:r w:rsidR="00C70DEA" w:rsidRPr="00B14ED8">
        <w:rPr>
          <w:rFonts w:ascii="Times New Roman" w:eastAsia="Times" w:hAnsi="Times New Roman" w:cs="Times New Roman"/>
          <w:sz w:val="24"/>
          <w:szCs w:val="24"/>
        </w:rPr>
        <w:t>Sistem</w:t>
      </w:r>
      <w:proofErr w:type="spellEnd"/>
      <w:r w:rsidR="00C70DEA" w:rsidRPr="00B14ED8">
        <w:rPr>
          <w:rFonts w:ascii="Times New Roman" w:eastAsia="Times" w:hAnsi="Times New Roman" w:cs="Times New Roman"/>
          <w:sz w:val="24"/>
          <w:szCs w:val="24"/>
        </w:rPr>
        <w:t xml:space="preserve"> </w:t>
      </w:r>
      <w:proofErr w:type="spellStart"/>
      <w:r w:rsidR="00C70DEA" w:rsidRPr="00B14ED8">
        <w:rPr>
          <w:rFonts w:ascii="Times New Roman" w:eastAsia="Times" w:hAnsi="Times New Roman" w:cs="Times New Roman"/>
          <w:sz w:val="24"/>
          <w:szCs w:val="24"/>
        </w:rPr>
        <w:t>bagi</w:t>
      </w:r>
      <w:proofErr w:type="spellEnd"/>
      <w:r w:rsidR="00C70DEA" w:rsidRPr="00B14ED8">
        <w:rPr>
          <w:rFonts w:ascii="Times New Roman" w:eastAsia="Times" w:hAnsi="Times New Roman" w:cs="Times New Roman"/>
          <w:sz w:val="24"/>
          <w:szCs w:val="24"/>
        </w:rPr>
        <w:t xml:space="preserve"> </w:t>
      </w:r>
      <w:proofErr w:type="spellStart"/>
      <w:r w:rsidR="00C70DEA" w:rsidRPr="00B14ED8">
        <w:rPr>
          <w:rFonts w:ascii="Times New Roman" w:eastAsia="Times" w:hAnsi="Times New Roman" w:cs="Times New Roman"/>
          <w:sz w:val="24"/>
          <w:szCs w:val="24"/>
        </w:rPr>
        <w:t>hasil</w:t>
      </w:r>
      <w:proofErr w:type="spellEnd"/>
      <w:r w:rsidR="007F0409" w:rsidRPr="00B14ED8">
        <w:rPr>
          <w:rFonts w:ascii="Times New Roman" w:eastAsia="Times" w:hAnsi="Times New Roman" w:cs="Times New Roman"/>
          <w:sz w:val="24"/>
          <w:szCs w:val="24"/>
        </w:rPr>
        <w:t xml:space="preserve"> </w:t>
      </w:r>
      <w:r w:rsidR="00FF794D" w:rsidRPr="00B14ED8">
        <w:rPr>
          <w:rFonts w:ascii="Times New Roman" w:eastAsia="Times" w:hAnsi="Times New Roman" w:cs="Times New Roman"/>
          <w:sz w:val="24"/>
          <w:szCs w:val="24"/>
        </w:rPr>
        <w:t>PLS</w:t>
      </w:r>
      <w:r w:rsidR="0065095A" w:rsidRPr="00B14ED8">
        <w:rPr>
          <w:rFonts w:ascii="Times New Roman" w:eastAsia="Times" w:hAnsi="Times New Roman" w:cs="Times New Roman"/>
          <w:sz w:val="24"/>
          <w:szCs w:val="24"/>
        </w:rPr>
        <w:t xml:space="preserve"> </w:t>
      </w:r>
      <w:proofErr w:type="spellStart"/>
      <w:r w:rsidR="0065095A" w:rsidRPr="00B14ED8">
        <w:rPr>
          <w:rFonts w:ascii="Times New Roman" w:eastAsia="Times" w:hAnsi="Times New Roman" w:cs="Times New Roman"/>
          <w:sz w:val="24"/>
          <w:szCs w:val="24"/>
        </w:rPr>
        <w:t>mengindikasikan</w:t>
      </w:r>
      <w:proofErr w:type="spellEnd"/>
      <w:r w:rsidR="0065095A" w:rsidRPr="00B14ED8">
        <w:rPr>
          <w:rFonts w:ascii="Times New Roman" w:eastAsia="Times" w:hAnsi="Times New Roman" w:cs="Times New Roman"/>
          <w:sz w:val="24"/>
          <w:szCs w:val="24"/>
        </w:rPr>
        <w:t xml:space="preserve"> </w:t>
      </w:r>
      <w:proofErr w:type="spellStart"/>
      <w:r w:rsidR="0065095A" w:rsidRPr="00B14ED8">
        <w:rPr>
          <w:rFonts w:ascii="Times New Roman" w:eastAsia="Times" w:hAnsi="Times New Roman" w:cs="Times New Roman"/>
          <w:sz w:val="24"/>
          <w:szCs w:val="24"/>
        </w:rPr>
        <w:t>keberhasilan</w:t>
      </w:r>
      <w:proofErr w:type="spellEnd"/>
      <w:r w:rsidR="0065095A" w:rsidRPr="00B14ED8">
        <w:rPr>
          <w:rFonts w:ascii="Times New Roman" w:eastAsia="Times" w:hAnsi="Times New Roman" w:cs="Times New Roman"/>
          <w:sz w:val="24"/>
          <w:szCs w:val="24"/>
        </w:rPr>
        <w:t xml:space="preserve"> </w:t>
      </w:r>
      <w:proofErr w:type="spellStart"/>
      <w:r w:rsidR="0065095A" w:rsidRPr="00B14ED8">
        <w:rPr>
          <w:rFonts w:ascii="Times New Roman" w:eastAsia="Times" w:hAnsi="Times New Roman" w:cs="Times New Roman"/>
          <w:sz w:val="24"/>
          <w:szCs w:val="24"/>
        </w:rPr>
        <w:t>atau</w:t>
      </w:r>
      <w:proofErr w:type="spellEnd"/>
      <w:r w:rsidR="0065095A" w:rsidRPr="00B14ED8">
        <w:rPr>
          <w:rFonts w:ascii="Times New Roman" w:eastAsia="Times" w:hAnsi="Times New Roman" w:cs="Times New Roman"/>
          <w:sz w:val="24"/>
          <w:szCs w:val="24"/>
        </w:rPr>
        <w:t xml:space="preserve"> </w:t>
      </w:r>
      <w:proofErr w:type="spellStart"/>
      <w:r w:rsidR="0065095A" w:rsidRPr="00B14ED8">
        <w:rPr>
          <w:rFonts w:ascii="Times New Roman" w:eastAsia="Times" w:hAnsi="Times New Roman" w:cs="Times New Roman"/>
          <w:sz w:val="24"/>
          <w:szCs w:val="24"/>
        </w:rPr>
        <w:t>kegagalan</w:t>
      </w:r>
      <w:proofErr w:type="spellEnd"/>
      <w:r w:rsidR="0065095A" w:rsidRPr="00B14ED8">
        <w:rPr>
          <w:rFonts w:ascii="Times New Roman" w:eastAsia="Times" w:hAnsi="Times New Roman" w:cs="Times New Roman"/>
          <w:sz w:val="24"/>
          <w:szCs w:val="24"/>
        </w:rPr>
        <w:t xml:space="preserve"> di </w:t>
      </w:r>
      <w:proofErr w:type="spellStart"/>
      <w:r w:rsidR="0065095A" w:rsidRPr="00B14ED8">
        <w:rPr>
          <w:rFonts w:ascii="Times New Roman" w:eastAsia="Times" w:hAnsi="Times New Roman" w:cs="Times New Roman"/>
          <w:sz w:val="24"/>
          <w:szCs w:val="24"/>
        </w:rPr>
        <w:t>dalam</w:t>
      </w:r>
      <w:proofErr w:type="spellEnd"/>
      <w:r w:rsidR="0065095A" w:rsidRPr="00B14ED8">
        <w:rPr>
          <w:rFonts w:ascii="Times New Roman" w:eastAsia="Times" w:hAnsi="Times New Roman" w:cs="Times New Roman"/>
          <w:sz w:val="24"/>
          <w:szCs w:val="24"/>
        </w:rPr>
        <w:t xml:space="preserve"> </w:t>
      </w:r>
      <w:proofErr w:type="spellStart"/>
      <w:r w:rsidR="00CF3459" w:rsidRPr="00B14ED8">
        <w:rPr>
          <w:rFonts w:ascii="Times New Roman" w:eastAsia="Times" w:hAnsi="Times New Roman" w:cs="Times New Roman"/>
          <w:sz w:val="24"/>
          <w:szCs w:val="24"/>
        </w:rPr>
        <w:t>investasi</w:t>
      </w:r>
      <w:proofErr w:type="spellEnd"/>
      <w:r w:rsidR="00CF3459" w:rsidRPr="00B14ED8">
        <w:rPr>
          <w:rFonts w:ascii="Times New Roman" w:eastAsia="Times" w:hAnsi="Times New Roman" w:cs="Times New Roman"/>
          <w:sz w:val="24"/>
          <w:szCs w:val="24"/>
        </w:rPr>
        <w:t xml:space="preserve"> </w:t>
      </w:r>
      <w:proofErr w:type="spellStart"/>
      <w:r w:rsidR="00CF3459" w:rsidRPr="00B14ED8">
        <w:rPr>
          <w:rFonts w:ascii="Times New Roman" w:eastAsia="Times" w:hAnsi="Times New Roman" w:cs="Times New Roman"/>
          <w:sz w:val="24"/>
          <w:szCs w:val="24"/>
        </w:rPr>
        <w:t>pendanaan</w:t>
      </w:r>
      <w:proofErr w:type="spellEnd"/>
      <w:r w:rsidR="00CF3459" w:rsidRPr="00B14ED8">
        <w:rPr>
          <w:rFonts w:ascii="Times New Roman" w:eastAsia="Times" w:hAnsi="Times New Roman" w:cs="Times New Roman"/>
          <w:sz w:val="24"/>
          <w:szCs w:val="24"/>
        </w:rPr>
        <w:t xml:space="preserve"> yang </w:t>
      </w:r>
      <w:proofErr w:type="spellStart"/>
      <w:r w:rsidR="00CF3459" w:rsidRPr="00B14ED8">
        <w:rPr>
          <w:rFonts w:ascii="Times New Roman" w:eastAsia="Times" w:hAnsi="Times New Roman" w:cs="Times New Roman"/>
          <w:sz w:val="24"/>
          <w:szCs w:val="24"/>
        </w:rPr>
        <w:t>dilakukan</w:t>
      </w:r>
      <w:proofErr w:type="spellEnd"/>
      <w:r w:rsidR="00CF3459" w:rsidRPr="00B14ED8">
        <w:rPr>
          <w:rFonts w:ascii="Times New Roman" w:eastAsia="Times" w:hAnsi="Times New Roman" w:cs="Times New Roman"/>
          <w:sz w:val="24"/>
          <w:szCs w:val="24"/>
        </w:rPr>
        <w:t xml:space="preserve"> </w:t>
      </w:r>
      <w:proofErr w:type="spellStart"/>
      <w:r w:rsidR="00CF3459" w:rsidRPr="00B14ED8">
        <w:rPr>
          <w:rFonts w:ascii="Times New Roman" w:eastAsia="Times" w:hAnsi="Times New Roman" w:cs="Times New Roman"/>
          <w:sz w:val="24"/>
          <w:szCs w:val="24"/>
        </w:rPr>
        <w:t>perbankan</w:t>
      </w:r>
      <w:proofErr w:type="spellEnd"/>
      <w:r w:rsidR="0061345E" w:rsidRPr="00B14ED8">
        <w:rPr>
          <w:rFonts w:ascii="Times New Roman" w:eastAsia="Times" w:hAnsi="Times New Roman" w:cs="Times New Roman"/>
          <w:sz w:val="24"/>
          <w:szCs w:val="24"/>
        </w:rPr>
        <w:t>.</w:t>
      </w:r>
      <w:r w:rsidR="00EC4223" w:rsidRPr="00B14ED8">
        <w:rPr>
          <w:rFonts w:ascii="Times New Roman" w:eastAsia="Times" w:hAnsi="Times New Roman" w:cs="Times New Roman"/>
          <w:sz w:val="24"/>
          <w:szCs w:val="24"/>
        </w:rPr>
        <w:t xml:space="preserve"> </w:t>
      </w:r>
      <w:proofErr w:type="spellStart"/>
      <w:r w:rsidR="00EC4223" w:rsidRPr="00B14ED8">
        <w:rPr>
          <w:rFonts w:ascii="Times New Roman" w:eastAsia="Times" w:hAnsi="Times New Roman" w:cs="Times New Roman"/>
          <w:sz w:val="24"/>
          <w:szCs w:val="24"/>
        </w:rPr>
        <w:t>Untuk</w:t>
      </w:r>
      <w:proofErr w:type="spellEnd"/>
      <w:r w:rsidR="00EC4223" w:rsidRPr="00B14ED8">
        <w:rPr>
          <w:rFonts w:ascii="Times New Roman" w:eastAsia="Times" w:hAnsi="Times New Roman" w:cs="Times New Roman"/>
          <w:sz w:val="24"/>
          <w:szCs w:val="24"/>
        </w:rPr>
        <w:t xml:space="preserve"> </w:t>
      </w:r>
      <w:proofErr w:type="spellStart"/>
      <w:r w:rsidR="00EC4223" w:rsidRPr="00B14ED8">
        <w:rPr>
          <w:rFonts w:ascii="Times New Roman" w:eastAsia="Times" w:hAnsi="Times New Roman" w:cs="Times New Roman"/>
          <w:sz w:val="24"/>
          <w:szCs w:val="24"/>
        </w:rPr>
        <w:t>menghasilkan</w:t>
      </w:r>
      <w:proofErr w:type="spellEnd"/>
      <w:r w:rsidR="00076914" w:rsidRPr="00B14ED8">
        <w:rPr>
          <w:rFonts w:ascii="Times New Roman" w:eastAsia="Times" w:hAnsi="Times New Roman" w:cs="Times New Roman"/>
          <w:sz w:val="24"/>
          <w:szCs w:val="24"/>
        </w:rPr>
        <w:t xml:space="preserve"> </w:t>
      </w:r>
      <w:proofErr w:type="spellStart"/>
      <w:r w:rsidR="00076914" w:rsidRPr="00B14ED8">
        <w:rPr>
          <w:rFonts w:ascii="Times New Roman" w:eastAsia="Times" w:hAnsi="Times New Roman" w:cs="Times New Roman"/>
          <w:sz w:val="24"/>
          <w:szCs w:val="24"/>
        </w:rPr>
        <w:t>laba</w:t>
      </w:r>
      <w:proofErr w:type="spellEnd"/>
      <w:r w:rsidR="00076914" w:rsidRPr="00B14ED8">
        <w:rPr>
          <w:rFonts w:ascii="Times New Roman" w:eastAsia="Times" w:hAnsi="Times New Roman" w:cs="Times New Roman"/>
          <w:sz w:val="24"/>
          <w:szCs w:val="24"/>
        </w:rPr>
        <w:t xml:space="preserve"> </w:t>
      </w:r>
      <w:proofErr w:type="spellStart"/>
      <w:r w:rsidR="00076914" w:rsidRPr="00B14ED8">
        <w:rPr>
          <w:rFonts w:ascii="Times New Roman" w:eastAsia="Times" w:hAnsi="Times New Roman" w:cs="Times New Roman"/>
          <w:sz w:val="24"/>
          <w:szCs w:val="24"/>
        </w:rPr>
        <w:t>atas</w:t>
      </w:r>
      <w:proofErr w:type="spellEnd"/>
      <w:r w:rsidR="00076914" w:rsidRPr="00B14ED8">
        <w:rPr>
          <w:rFonts w:ascii="Times New Roman" w:eastAsia="Times" w:hAnsi="Times New Roman" w:cs="Times New Roman"/>
          <w:sz w:val="24"/>
          <w:szCs w:val="24"/>
        </w:rPr>
        <w:t xml:space="preserve"> </w:t>
      </w:r>
      <w:proofErr w:type="spellStart"/>
      <w:r w:rsidR="00076914" w:rsidRPr="00B14ED8">
        <w:rPr>
          <w:rFonts w:ascii="Times New Roman" w:eastAsia="Times" w:hAnsi="Times New Roman" w:cs="Times New Roman"/>
          <w:sz w:val="24"/>
          <w:szCs w:val="24"/>
        </w:rPr>
        <w:t>investasi</w:t>
      </w:r>
      <w:proofErr w:type="spellEnd"/>
      <w:r w:rsidR="00076914" w:rsidRPr="00B14ED8">
        <w:rPr>
          <w:rFonts w:ascii="Times New Roman" w:eastAsia="Times" w:hAnsi="Times New Roman" w:cs="Times New Roman"/>
          <w:sz w:val="24"/>
          <w:szCs w:val="24"/>
        </w:rPr>
        <w:t xml:space="preserve"> </w:t>
      </w:r>
      <w:proofErr w:type="spellStart"/>
      <w:r w:rsidR="00076914" w:rsidRPr="00B14ED8">
        <w:rPr>
          <w:rFonts w:ascii="Times New Roman" w:eastAsia="Times" w:hAnsi="Times New Roman" w:cs="Times New Roman"/>
          <w:sz w:val="24"/>
          <w:szCs w:val="24"/>
        </w:rPr>
        <w:t>pendanaan</w:t>
      </w:r>
      <w:proofErr w:type="spellEnd"/>
      <w:r w:rsidR="00076914" w:rsidRPr="00B14ED8">
        <w:rPr>
          <w:rFonts w:ascii="Times New Roman" w:eastAsia="Times" w:hAnsi="Times New Roman" w:cs="Times New Roman"/>
          <w:sz w:val="24"/>
          <w:szCs w:val="24"/>
        </w:rPr>
        <w:t xml:space="preserve"> yang </w:t>
      </w:r>
      <w:proofErr w:type="spellStart"/>
      <w:r w:rsidR="00076914" w:rsidRPr="00B14ED8">
        <w:rPr>
          <w:rFonts w:ascii="Times New Roman" w:eastAsia="Times" w:hAnsi="Times New Roman" w:cs="Times New Roman"/>
          <w:sz w:val="24"/>
          <w:szCs w:val="24"/>
        </w:rPr>
        <w:t>dilakukan</w:t>
      </w:r>
      <w:proofErr w:type="spellEnd"/>
      <w:r w:rsidR="00697A0E" w:rsidRPr="00B14ED8">
        <w:rPr>
          <w:rFonts w:ascii="Times New Roman" w:eastAsia="Times" w:hAnsi="Times New Roman" w:cs="Times New Roman"/>
          <w:sz w:val="24"/>
          <w:szCs w:val="24"/>
        </w:rPr>
        <w:t xml:space="preserve">, </w:t>
      </w:r>
      <w:proofErr w:type="spellStart"/>
      <w:r w:rsidR="00076914" w:rsidRPr="00B14ED8">
        <w:rPr>
          <w:rFonts w:ascii="Times New Roman" w:eastAsia="Times" w:hAnsi="Times New Roman" w:cs="Times New Roman"/>
          <w:sz w:val="24"/>
          <w:szCs w:val="24"/>
        </w:rPr>
        <w:t>tentu</w:t>
      </w:r>
      <w:proofErr w:type="spellEnd"/>
      <w:r w:rsidR="00076914" w:rsidRPr="00B14ED8">
        <w:rPr>
          <w:rFonts w:ascii="Times New Roman" w:eastAsia="Times" w:hAnsi="Times New Roman" w:cs="Times New Roman"/>
          <w:sz w:val="24"/>
          <w:szCs w:val="24"/>
        </w:rPr>
        <w:t xml:space="preserve"> </w:t>
      </w:r>
      <w:proofErr w:type="spellStart"/>
      <w:r w:rsidR="00076914" w:rsidRPr="00B14ED8">
        <w:rPr>
          <w:rFonts w:ascii="Times New Roman" w:eastAsia="Times" w:hAnsi="Times New Roman" w:cs="Times New Roman"/>
          <w:sz w:val="24"/>
          <w:szCs w:val="24"/>
        </w:rPr>
        <w:t>diperlukan</w:t>
      </w:r>
      <w:proofErr w:type="spellEnd"/>
      <w:r w:rsidR="00076914" w:rsidRPr="00B14ED8">
        <w:rPr>
          <w:rFonts w:ascii="Times New Roman" w:eastAsia="Times" w:hAnsi="Times New Roman" w:cs="Times New Roman"/>
          <w:sz w:val="24"/>
          <w:szCs w:val="24"/>
        </w:rPr>
        <w:t xml:space="preserve"> </w:t>
      </w:r>
      <w:proofErr w:type="spellStart"/>
      <w:r w:rsidR="00076914" w:rsidRPr="00B14ED8">
        <w:rPr>
          <w:rFonts w:ascii="Times New Roman" w:eastAsia="Times" w:hAnsi="Times New Roman" w:cs="Times New Roman"/>
          <w:sz w:val="24"/>
          <w:szCs w:val="24"/>
        </w:rPr>
        <w:t>adanya</w:t>
      </w:r>
      <w:proofErr w:type="spellEnd"/>
      <w:r w:rsidR="00076914" w:rsidRPr="00B14ED8">
        <w:rPr>
          <w:rFonts w:ascii="Times New Roman" w:eastAsia="Times" w:hAnsi="Times New Roman" w:cs="Times New Roman"/>
          <w:sz w:val="24"/>
          <w:szCs w:val="24"/>
        </w:rPr>
        <w:t xml:space="preserve"> </w:t>
      </w:r>
      <w:proofErr w:type="spellStart"/>
      <w:r w:rsidR="00076914" w:rsidRPr="00B14ED8">
        <w:rPr>
          <w:rFonts w:ascii="Times New Roman" w:eastAsia="Times" w:hAnsi="Times New Roman" w:cs="Times New Roman"/>
          <w:sz w:val="24"/>
          <w:szCs w:val="24"/>
        </w:rPr>
        <w:t>manajemen</w:t>
      </w:r>
      <w:proofErr w:type="spellEnd"/>
      <w:r w:rsidR="00076914" w:rsidRPr="00B14ED8">
        <w:rPr>
          <w:rFonts w:ascii="Times New Roman" w:eastAsia="Times" w:hAnsi="Times New Roman" w:cs="Times New Roman"/>
          <w:sz w:val="24"/>
          <w:szCs w:val="24"/>
        </w:rPr>
        <w:t xml:space="preserve"> </w:t>
      </w:r>
      <w:proofErr w:type="spellStart"/>
      <w:r w:rsidR="00076914" w:rsidRPr="00B14ED8">
        <w:rPr>
          <w:rFonts w:ascii="Times New Roman" w:eastAsia="Times" w:hAnsi="Times New Roman" w:cs="Times New Roman"/>
          <w:sz w:val="24"/>
          <w:szCs w:val="24"/>
        </w:rPr>
        <w:t>risiko</w:t>
      </w:r>
      <w:proofErr w:type="spellEnd"/>
      <w:r w:rsidR="00076914" w:rsidRPr="00B14ED8">
        <w:rPr>
          <w:rFonts w:ascii="Times New Roman" w:eastAsia="Times" w:hAnsi="Times New Roman" w:cs="Times New Roman"/>
          <w:sz w:val="24"/>
          <w:szCs w:val="24"/>
        </w:rPr>
        <w:t xml:space="preserve"> yang </w:t>
      </w:r>
      <w:proofErr w:type="spellStart"/>
      <w:r w:rsidR="00076914" w:rsidRPr="00B14ED8">
        <w:rPr>
          <w:rFonts w:ascii="Times New Roman" w:eastAsia="Times" w:hAnsi="Times New Roman" w:cs="Times New Roman"/>
          <w:sz w:val="24"/>
          <w:szCs w:val="24"/>
        </w:rPr>
        <w:t>handal</w:t>
      </w:r>
      <w:proofErr w:type="spellEnd"/>
      <w:r w:rsidR="00E31515" w:rsidRPr="00B14ED8">
        <w:rPr>
          <w:rFonts w:ascii="Times New Roman" w:eastAsia="Times" w:hAnsi="Times New Roman" w:cs="Times New Roman"/>
          <w:sz w:val="24"/>
          <w:szCs w:val="24"/>
        </w:rPr>
        <w:t xml:space="preserve"> </w:t>
      </w:r>
      <w:proofErr w:type="spellStart"/>
      <w:r w:rsidR="00E31515" w:rsidRPr="00B14ED8">
        <w:rPr>
          <w:rFonts w:ascii="Times New Roman" w:eastAsia="Times" w:hAnsi="Times New Roman" w:cs="Times New Roman"/>
          <w:sz w:val="24"/>
          <w:szCs w:val="24"/>
        </w:rPr>
        <w:t>serta</w:t>
      </w:r>
      <w:proofErr w:type="spellEnd"/>
      <w:r w:rsidR="00E31515" w:rsidRPr="00B14ED8">
        <w:rPr>
          <w:rFonts w:ascii="Times New Roman" w:eastAsia="Times" w:hAnsi="Times New Roman" w:cs="Times New Roman"/>
          <w:sz w:val="24"/>
          <w:szCs w:val="24"/>
        </w:rPr>
        <w:t xml:space="preserve"> </w:t>
      </w:r>
      <w:proofErr w:type="spellStart"/>
      <w:r w:rsidR="00E31515" w:rsidRPr="00B14ED8">
        <w:rPr>
          <w:rFonts w:ascii="Times New Roman" w:eastAsia="Times" w:hAnsi="Times New Roman" w:cs="Times New Roman"/>
          <w:sz w:val="24"/>
          <w:szCs w:val="24"/>
        </w:rPr>
        <w:t>berkelanjutan</w:t>
      </w:r>
      <w:proofErr w:type="spellEnd"/>
      <w:r w:rsidR="003709FA" w:rsidRPr="00B14ED8">
        <w:rPr>
          <w:rFonts w:ascii="Times New Roman" w:eastAsia="Times" w:hAnsi="Times New Roman" w:cs="Times New Roman"/>
          <w:sz w:val="24"/>
          <w:szCs w:val="24"/>
        </w:rPr>
        <w:t>.</w:t>
      </w:r>
      <w:r w:rsidR="00B42BF5" w:rsidRPr="00B14ED8">
        <w:rPr>
          <w:rFonts w:ascii="Times New Roman" w:eastAsia="Times" w:hAnsi="Times New Roman" w:cs="Times New Roman"/>
          <w:sz w:val="24"/>
          <w:szCs w:val="24"/>
        </w:rPr>
        <w:t xml:space="preserve"> </w:t>
      </w:r>
      <w:r w:rsidR="00BF189B" w:rsidRPr="00B14ED8">
        <w:rPr>
          <w:rFonts w:ascii="Times New Roman" w:eastAsia="Times" w:hAnsi="Times New Roman" w:cs="Times New Roman"/>
          <w:sz w:val="24"/>
          <w:szCs w:val="24"/>
        </w:rPr>
        <w:t>P</w:t>
      </w:r>
      <w:r w:rsidR="003709FA" w:rsidRPr="00B14ED8">
        <w:rPr>
          <w:rFonts w:ascii="Times New Roman" w:eastAsia="Times" w:hAnsi="Times New Roman" w:cs="Times New Roman"/>
          <w:sz w:val="24"/>
          <w:szCs w:val="24"/>
        </w:rPr>
        <w:t xml:space="preserve">ada </w:t>
      </w:r>
      <w:proofErr w:type="spellStart"/>
      <w:r w:rsidR="003709FA" w:rsidRPr="00B14ED8">
        <w:rPr>
          <w:rFonts w:ascii="Times New Roman" w:eastAsia="Times" w:hAnsi="Times New Roman" w:cs="Times New Roman"/>
          <w:sz w:val="24"/>
          <w:szCs w:val="24"/>
        </w:rPr>
        <w:t>studi</w:t>
      </w:r>
      <w:proofErr w:type="spellEnd"/>
      <w:r w:rsidR="00B42BF5" w:rsidRPr="00B14ED8">
        <w:rPr>
          <w:rFonts w:ascii="Times New Roman" w:eastAsia="Times" w:hAnsi="Times New Roman" w:cs="Times New Roman"/>
          <w:sz w:val="24"/>
          <w:szCs w:val="24"/>
        </w:rPr>
        <w:t xml:space="preserve"> </w:t>
      </w:r>
      <w:proofErr w:type="spellStart"/>
      <w:r w:rsidR="00B42BF5" w:rsidRPr="00B14ED8">
        <w:rPr>
          <w:rFonts w:ascii="Times New Roman" w:eastAsia="Times" w:hAnsi="Times New Roman" w:cs="Times New Roman"/>
          <w:sz w:val="24"/>
          <w:szCs w:val="24"/>
        </w:rPr>
        <w:t>ini</w:t>
      </w:r>
      <w:proofErr w:type="spellEnd"/>
      <w:r w:rsidR="00B42BF5" w:rsidRPr="00B14ED8">
        <w:rPr>
          <w:rFonts w:ascii="Times New Roman" w:eastAsia="Times" w:hAnsi="Times New Roman" w:cs="Times New Roman"/>
          <w:sz w:val="24"/>
          <w:szCs w:val="24"/>
        </w:rPr>
        <w:t xml:space="preserve"> </w:t>
      </w:r>
      <w:proofErr w:type="spellStart"/>
      <w:r w:rsidR="00B50F14" w:rsidRPr="00B14ED8">
        <w:rPr>
          <w:rFonts w:ascii="Times New Roman" w:eastAsia="Times" w:hAnsi="Times New Roman" w:cs="Times New Roman"/>
          <w:sz w:val="24"/>
          <w:szCs w:val="24"/>
        </w:rPr>
        <w:t>variabel</w:t>
      </w:r>
      <w:proofErr w:type="spellEnd"/>
      <w:r w:rsidR="00B50F14" w:rsidRPr="00B14ED8">
        <w:rPr>
          <w:rFonts w:ascii="Times New Roman" w:eastAsia="Times" w:hAnsi="Times New Roman" w:cs="Times New Roman"/>
          <w:sz w:val="24"/>
          <w:szCs w:val="24"/>
        </w:rPr>
        <w:t xml:space="preserve"> </w:t>
      </w:r>
      <w:proofErr w:type="spellStart"/>
      <w:r w:rsidR="003709FA" w:rsidRPr="00B14ED8">
        <w:rPr>
          <w:rFonts w:ascii="Times New Roman" w:eastAsia="Times" w:hAnsi="Times New Roman" w:cs="Times New Roman"/>
          <w:sz w:val="24"/>
          <w:szCs w:val="24"/>
        </w:rPr>
        <w:t>manajemen</w:t>
      </w:r>
      <w:proofErr w:type="spellEnd"/>
      <w:r w:rsidR="003709FA" w:rsidRPr="00B14ED8">
        <w:rPr>
          <w:rFonts w:ascii="Times New Roman" w:eastAsia="Times" w:hAnsi="Times New Roman" w:cs="Times New Roman"/>
          <w:sz w:val="24"/>
          <w:szCs w:val="24"/>
        </w:rPr>
        <w:t xml:space="preserve"> </w:t>
      </w:r>
      <w:proofErr w:type="spellStart"/>
      <w:r w:rsidR="003709FA" w:rsidRPr="00B14ED8">
        <w:rPr>
          <w:rFonts w:ascii="Times New Roman" w:eastAsia="Times" w:hAnsi="Times New Roman" w:cs="Times New Roman"/>
          <w:sz w:val="24"/>
          <w:szCs w:val="24"/>
        </w:rPr>
        <w:t>risiko</w:t>
      </w:r>
      <w:proofErr w:type="spellEnd"/>
      <w:r w:rsidR="003709FA" w:rsidRPr="00B14ED8">
        <w:rPr>
          <w:rFonts w:ascii="Times New Roman" w:eastAsia="Times" w:hAnsi="Times New Roman" w:cs="Times New Roman"/>
          <w:sz w:val="24"/>
          <w:szCs w:val="24"/>
        </w:rPr>
        <w:t xml:space="preserve"> </w:t>
      </w:r>
      <w:proofErr w:type="spellStart"/>
      <w:r w:rsidR="00980A60" w:rsidRPr="00B14ED8">
        <w:rPr>
          <w:rFonts w:ascii="Times New Roman" w:eastAsia="Times" w:hAnsi="Times New Roman" w:cs="Times New Roman"/>
          <w:sz w:val="24"/>
          <w:szCs w:val="24"/>
        </w:rPr>
        <w:t>akan</w:t>
      </w:r>
      <w:proofErr w:type="spellEnd"/>
      <w:r w:rsidR="00980A60" w:rsidRPr="00B14ED8">
        <w:rPr>
          <w:rFonts w:ascii="Times New Roman" w:eastAsia="Times" w:hAnsi="Times New Roman" w:cs="Times New Roman"/>
          <w:sz w:val="24"/>
          <w:szCs w:val="24"/>
        </w:rPr>
        <w:t xml:space="preserve"> </w:t>
      </w:r>
      <w:proofErr w:type="spellStart"/>
      <w:r w:rsidR="00D55751" w:rsidRPr="00B14ED8">
        <w:rPr>
          <w:rFonts w:ascii="Times New Roman" w:eastAsia="Times" w:hAnsi="Times New Roman" w:cs="Times New Roman"/>
          <w:sz w:val="24"/>
          <w:szCs w:val="24"/>
        </w:rPr>
        <w:t>diteliti</w:t>
      </w:r>
      <w:proofErr w:type="spellEnd"/>
      <w:r w:rsidR="00D55751" w:rsidRPr="00B14ED8">
        <w:rPr>
          <w:rFonts w:ascii="Times New Roman" w:eastAsia="Times" w:hAnsi="Times New Roman" w:cs="Times New Roman"/>
          <w:sz w:val="24"/>
          <w:szCs w:val="24"/>
        </w:rPr>
        <w:t xml:space="preserve"> </w:t>
      </w:r>
      <w:proofErr w:type="spellStart"/>
      <w:r w:rsidR="00D55751" w:rsidRPr="00B14ED8">
        <w:rPr>
          <w:rFonts w:ascii="Times New Roman" w:eastAsia="Times" w:hAnsi="Times New Roman" w:cs="Times New Roman"/>
          <w:sz w:val="24"/>
          <w:szCs w:val="24"/>
        </w:rPr>
        <w:t>secara</w:t>
      </w:r>
      <w:proofErr w:type="spellEnd"/>
      <w:r w:rsidR="00D55751" w:rsidRPr="00B14ED8">
        <w:rPr>
          <w:rFonts w:ascii="Times New Roman" w:eastAsia="Times" w:hAnsi="Times New Roman" w:cs="Times New Roman"/>
          <w:sz w:val="24"/>
          <w:szCs w:val="24"/>
        </w:rPr>
        <w:t xml:space="preserve"> </w:t>
      </w:r>
      <w:proofErr w:type="spellStart"/>
      <w:r w:rsidR="00D55751" w:rsidRPr="00B14ED8">
        <w:rPr>
          <w:rFonts w:ascii="Times New Roman" w:eastAsia="Times" w:hAnsi="Times New Roman" w:cs="Times New Roman"/>
          <w:sz w:val="24"/>
          <w:szCs w:val="24"/>
        </w:rPr>
        <w:t>komprehensif</w:t>
      </w:r>
      <w:proofErr w:type="spellEnd"/>
      <w:r w:rsidR="00D55751" w:rsidRPr="00B14ED8">
        <w:rPr>
          <w:rFonts w:ascii="Times New Roman" w:eastAsia="Times" w:hAnsi="Times New Roman" w:cs="Times New Roman"/>
          <w:sz w:val="24"/>
          <w:szCs w:val="24"/>
        </w:rPr>
        <w:t xml:space="preserve"> </w:t>
      </w:r>
      <w:proofErr w:type="spellStart"/>
      <w:r w:rsidR="00D55751" w:rsidRPr="00B14ED8">
        <w:rPr>
          <w:rFonts w:ascii="Times New Roman" w:eastAsia="Times" w:hAnsi="Times New Roman" w:cs="Times New Roman"/>
          <w:sz w:val="24"/>
          <w:szCs w:val="24"/>
        </w:rPr>
        <w:t>terkait</w:t>
      </w:r>
      <w:proofErr w:type="spellEnd"/>
      <w:r w:rsidR="00D55751" w:rsidRPr="00B14ED8">
        <w:rPr>
          <w:rFonts w:ascii="Times New Roman" w:eastAsia="Times" w:hAnsi="Times New Roman" w:cs="Times New Roman"/>
          <w:sz w:val="24"/>
          <w:szCs w:val="24"/>
        </w:rPr>
        <w:t xml:space="preserve"> </w:t>
      </w:r>
      <w:proofErr w:type="spellStart"/>
      <w:r w:rsidR="00BB25DA" w:rsidRPr="00B14ED8">
        <w:rPr>
          <w:rFonts w:ascii="Times New Roman" w:eastAsia="Times" w:hAnsi="Times New Roman" w:cs="Times New Roman"/>
          <w:sz w:val="24"/>
          <w:szCs w:val="24"/>
        </w:rPr>
        <w:t>dampaknya</w:t>
      </w:r>
      <w:proofErr w:type="spellEnd"/>
      <w:r w:rsidR="00BB25DA" w:rsidRPr="00B14ED8">
        <w:rPr>
          <w:rFonts w:ascii="Times New Roman" w:eastAsia="Times" w:hAnsi="Times New Roman" w:cs="Times New Roman"/>
          <w:sz w:val="24"/>
          <w:szCs w:val="24"/>
        </w:rPr>
        <w:t xml:space="preserve"> di </w:t>
      </w:r>
      <w:proofErr w:type="spellStart"/>
      <w:r w:rsidR="00BB25DA" w:rsidRPr="00B14ED8">
        <w:rPr>
          <w:rFonts w:ascii="Times New Roman" w:eastAsia="Times" w:hAnsi="Times New Roman" w:cs="Times New Roman"/>
          <w:sz w:val="24"/>
          <w:szCs w:val="24"/>
        </w:rPr>
        <w:t>dalam</w:t>
      </w:r>
      <w:proofErr w:type="spellEnd"/>
      <w:r w:rsidR="00BB25DA" w:rsidRPr="00B14ED8">
        <w:rPr>
          <w:rFonts w:ascii="Times New Roman" w:eastAsia="Times" w:hAnsi="Times New Roman" w:cs="Times New Roman"/>
          <w:sz w:val="24"/>
          <w:szCs w:val="24"/>
        </w:rPr>
        <w:t xml:space="preserve"> </w:t>
      </w:r>
      <w:proofErr w:type="spellStart"/>
      <w:r w:rsidR="00BB25DA" w:rsidRPr="00B14ED8">
        <w:rPr>
          <w:rFonts w:ascii="Times New Roman" w:eastAsia="Times" w:hAnsi="Times New Roman" w:cs="Times New Roman"/>
          <w:sz w:val="24"/>
          <w:szCs w:val="24"/>
        </w:rPr>
        <w:t>me</w:t>
      </w:r>
      <w:r w:rsidR="006225D1" w:rsidRPr="00B14ED8">
        <w:rPr>
          <w:rFonts w:ascii="Times New Roman" w:eastAsia="Times" w:hAnsi="Times New Roman" w:cs="Times New Roman"/>
          <w:sz w:val="24"/>
          <w:szCs w:val="24"/>
        </w:rPr>
        <w:t>nunjang</w:t>
      </w:r>
      <w:proofErr w:type="spellEnd"/>
      <w:r w:rsidR="006225D1" w:rsidRPr="00B14ED8">
        <w:rPr>
          <w:rFonts w:ascii="Times New Roman" w:eastAsia="Times" w:hAnsi="Times New Roman" w:cs="Times New Roman"/>
          <w:sz w:val="24"/>
          <w:szCs w:val="24"/>
        </w:rPr>
        <w:t xml:space="preserve"> </w:t>
      </w:r>
      <w:proofErr w:type="spellStart"/>
      <w:r w:rsidR="006225D1" w:rsidRPr="00B14ED8">
        <w:rPr>
          <w:rFonts w:ascii="Times New Roman" w:eastAsia="Times" w:hAnsi="Times New Roman" w:cs="Times New Roman"/>
          <w:sz w:val="24"/>
          <w:szCs w:val="24"/>
        </w:rPr>
        <w:t>penerapan</w:t>
      </w:r>
      <w:proofErr w:type="spellEnd"/>
      <w:r w:rsidR="006225D1" w:rsidRPr="00B14ED8">
        <w:rPr>
          <w:rFonts w:ascii="Times New Roman" w:eastAsia="Times" w:hAnsi="Times New Roman" w:cs="Times New Roman"/>
          <w:sz w:val="24"/>
          <w:szCs w:val="24"/>
        </w:rPr>
        <w:t xml:space="preserve"> </w:t>
      </w:r>
      <w:proofErr w:type="spellStart"/>
      <w:r w:rsidR="006225D1" w:rsidRPr="00B14ED8">
        <w:rPr>
          <w:rFonts w:ascii="Times New Roman" w:eastAsia="Times" w:hAnsi="Times New Roman" w:cs="Times New Roman"/>
          <w:sz w:val="24"/>
          <w:szCs w:val="24"/>
        </w:rPr>
        <w:t>sistem</w:t>
      </w:r>
      <w:proofErr w:type="spellEnd"/>
      <w:r w:rsidR="006225D1" w:rsidRPr="00B14ED8">
        <w:rPr>
          <w:rFonts w:ascii="Times New Roman" w:eastAsia="Times" w:hAnsi="Times New Roman" w:cs="Times New Roman"/>
          <w:sz w:val="24"/>
          <w:szCs w:val="24"/>
        </w:rPr>
        <w:t xml:space="preserve"> </w:t>
      </w:r>
      <w:r w:rsidR="00122C95" w:rsidRPr="00B14ED8">
        <w:rPr>
          <w:rFonts w:ascii="Times New Roman" w:eastAsia="Times" w:hAnsi="Times New Roman" w:cs="Times New Roman"/>
          <w:sz w:val="24"/>
          <w:szCs w:val="24"/>
        </w:rPr>
        <w:t>PLS</w:t>
      </w:r>
      <w:r w:rsidR="00C43F01" w:rsidRPr="00B14ED8">
        <w:rPr>
          <w:rFonts w:ascii="Times New Roman" w:eastAsia="Times" w:hAnsi="Times New Roman" w:cs="Times New Roman"/>
          <w:i/>
          <w:iCs/>
          <w:sz w:val="24"/>
          <w:szCs w:val="24"/>
        </w:rPr>
        <w:t xml:space="preserve"> </w:t>
      </w:r>
      <w:r w:rsidR="00C43F01" w:rsidRPr="00B14ED8">
        <w:rPr>
          <w:rFonts w:ascii="Times New Roman" w:eastAsia="Times" w:hAnsi="Times New Roman" w:cs="Times New Roman"/>
          <w:sz w:val="24"/>
          <w:szCs w:val="24"/>
        </w:rPr>
        <w:t>(</w:t>
      </w:r>
      <w:proofErr w:type="spellStart"/>
      <w:r w:rsidR="00C43F01" w:rsidRPr="00B14ED8">
        <w:rPr>
          <w:rFonts w:ascii="Times New Roman" w:eastAsia="Times" w:hAnsi="Times New Roman" w:cs="Times New Roman"/>
          <w:i/>
          <w:iCs/>
          <w:sz w:val="24"/>
          <w:szCs w:val="24"/>
        </w:rPr>
        <w:t>mudharabah</w:t>
      </w:r>
      <w:proofErr w:type="spellEnd"/>
      <w:r w:rsidR="00C43F01" w:rsidRPr="00B14ED8">
        <w:rPr>
          <w:rFonts w:ascii="Times New Roman" w:eastAsia="Times" w:hAnsi="Times New Roman" w:cs="Times New Roman"/>
          <w:i/>
          <w:iCs/>
          <w:sz w:val="24"/>
          <w:szCs w:val="24"/>
        </w:rPr>
        <w:t xml:space="preserve"> </w:t>
      </w:r>
      <w:r w:rsidR="00C43F01" w:rsidRPr="00B14ED8">
        <w:rPr>
          <w:rFonts w:ascii="Times New Roman" w:eastAsia="Times" w:hAnsi="Times New Roman" w:cs="Times New Roman"/>
          <w:sz w:val="24"/>
          <w:szCs w:val="24"/>
        </w:rPr>
        <w:t xml:space="preserve">dan </w:t>
      </w:r>
      <w:proofErr w:type="spellStart"/>
      <w:r w:rsidR="00C43F01" w:rsidRPr="00B14ED8">
        <w:rPr>
          <w:rFonts w:ascii="Times New Roman" w:eastAsia="Times" w:hAnsi="Times New Roman" w:cs="Times New Roman"/>
          <w:i/>
          <w:iCs/>
          <w:sz w:val="24"/>
          <w:szCs w:val="24"/>
        </w:rPr>
        <w:t>musyarakah</w:t>
      </w:r>
      <w:proofErr w:type="spellEnd"/>
      <w:r w:rsidR="00C43F01" w:rsidRPr="00B14ED8">
        <w:rPr>
          <w:rFonts w:ascii="Times New Roman" w:eastAsia="Times" w:hAnsi="Times New Roman" w:cs="Times New Roman"/>
          <w:sz w:val="24"/>
          <w:szCs w:val="24"/>
        </w:rPr>
        <w:t>)</w:t>
      </w:r>
      <w:r w:rsidR="00A61AE0" w:rsidRPr="00B14ED8">
        <w:rPr>
          <w:rFonts w:ascii="Times New Roman" w:eastAsia="Times" w:hAnsi="Times New Roman" w:cs="Times New Roman"/>
          <w:sz w:val="24"/>
          <w:szCs w:val="24"/>
        </w:rPr>
        <w:t xml:space="preserve"> </w:t>
      </w:r>
      <w:proofErr w:type="spellStart"/>
      <w:r w:rsidR="00A61AE0" w:rsidRPr="00B14ED8">
        <w:rPr>
          <w:rFonts w:ascii="Times New Roman" w:eastAsia="Times" w:hAnsi="Times New Roman" w:cs="Times New Roman"/>
          <w:sz w:val="24"/>
          <w:szCs w:val="24"/>
        </w:rPr>
        <w:t>terhadap</w:t>
      </w:r>
      <w:proofErr w:type="spellEnd"/>
      <w:r w:rsidR="00A61AE0" w:rsidRPr="00B14ED8">
        <w:rPr>
          <w:rFonts w:ascii="Times New Roman" w:eastAsia="Times" w:hAnsi="Times New Roman" w:cs="Times New Roman"/>
          <w:sz w:val="24"/>
          <w:szCs w:val="24"/>
        </w:rPr>
        <w:t xml:space="preserve"> </w:t>
      </w:r>
      <w:proofErr w:type="spellStart"/>
      <w:r w:rsidR="00A61AE0" w:rsidRPr="00B14ED8">
        <w:rPr>
          <w:rFonts w:ascii="Times New Roman" w:eastAsia="Times" w:hAnsi="Times New Roman" w:cs="Times New Roman"/>
          <w:sz w:val="24"/>
          <w:szCs w:val="24"/>
        </w:rPr>
        <w:t>kinerja</w:t>
      </w:r>
      <w:proofErr w:type="spellEnd"/>
      <w:r w:rsidR="00A61AE0" w:rsidRPr="00B14ED8">
        <w:rPr>
          <w:rFonts w:ascii="Times New Roman" w:eastAsia="Times" w:hAnsi="Times New Roman" w:cs="Times New Roman"/>
          <w:sz w:val="24"/>
          <w:szCs w:val="24"/>
        </w:rPr>
        <w:t xml:space="preserve"> </w:t>
      </w:r>
      <w:proofErr w:type="spellStart"/>
      <w:r w:rsidR="00A61AE0" w:rsidRPr="00B14ED8">
        <w:rPr>
          <w:rFonts w:ascii="Times New Roman" w:eastAsia="Times" w:hAnsi="Times New Roman" w:cs="Times New Roman"/>
          <w:sz w:val="24"/>
          <w:szCs w:val="24"/>
        </w:rPr>
        <w:t>keuangan</w:t>
      </w:r>
      <w:proofErr w:type="spellEnd"/>
      <w:r w:rsidR="00601232" w:rsidRPr="00B14ED8">
        <w:rPr>
          <w:rFonts w:ascii="Times New Roman" w:eastAsia="Times" w:hAnsi="Times New Roman" w:cs="Times New Roman"/>
          <w:sz w:val="24"/>
          <w:szCs w:val="24"/>
        </w:rPr>
        <w:t>.</w:t>
      </w:r>
      <w:r w:rsidR="00C43F01" w:rsidRPr="00B14ED8">
        <w:rPr>
          <w:rFonts w:ascii="Times New Roman" w:eastAsia="Times" w:hAnsi="Times New Roman" w:cs="Times New Roman"/>
          <w:sz w:val="24"/>
          <w:szCs w:val="24"/>
        </w:rPr>
        <w:t xml:space="preserve"> </w:t>
      </w:r>
      <w:proofErr w:type="spellStart"/>
      <w:r w:rsidR="00EA3DEA" w:rsidRPr="00B14ED8">
        <w:rPr>
          <w:rFonts w:ascii="Times New Roman" w:eastAsia="Times" w:hAnsi="Times New Roman" w:cs="Times New Roman"/>
          <w:sz w:val="24"/>
          <w:szCs w:val="24"/>
        </w:rPr>
        <w:t>Metode</w:t>
      </w:r>
      <w:proofErr w:type="spellEnd"/>
      <w:r w:rsidR="00EA3DEA" w:rsidRPr="00B14ED8">
        <w:rPr>
          <w:rFonts w:ascii="Times New Roman" w:eastAsia="Times" w:hAnsi="Times New Roman" w:cs="Times New Roman"/>
          <w:sz w:val="24"/>
          <w:szCs w:val="24"/>
        </w:rPr>
        <w:t xml:space="preserve"> </w:t>
      </w:r>
      <w:proofErr w:type="spellStart"/>
      <w:r w:rsidR="00EA3DEA" w:rsidRPr="00B14ED8">
        <w:rPr>
          <w:rFonts w:ascii="Times New Roman" w:eastAsia="Times" w:hAnsi="Times New Roman" w:cs="Times New Roman"/>
          <w:sz w:val="24"/>
          <w:szCs w:val="24"/>
        </w:rPr>
        <w:t>analisis</w:t>
      </w:r>
      <w:proofErr w:type="spellEnd"/>
      <w:r w:rsidR="00EA3DEA" w:rsidRPr="00B14ED8">
        <w:rPr>
          <w:rFonts w:ascii="Times New Roman" w:eastAsia="Times" w:hAnsi="Times New Roman" w:cs="Times New Roman"/>
          <w:sz w:val="24"/>
          <w:szCs w:val="24"/>
        </w:rPr>
        <w:t xml:space="preserve"> yang </w:t>
      </w:r>
      <w:proofErr w:type="spellStart"/>
      <w:r w:rsidR="00EA3DEA" w:rsidRPr="00B14ED8">
        <w:rPr>
          <w:rFonts w:ascii="Times New Roman" w:eastAsia="Times" w:hAnsi="Times New Roman" w:cs="Times New Roman"/>
          <w:sz w:val="24"/>
          <w:szCs w:val="24"/>
        </w:rPr>
        <w:t>digunakan</w:t>
      </w:r>
      <w:proofErr w:type="spellEnd"/>
      <w:r w:rsidR="00EA3DEA" w:rsidRPr="00B14ED8">
        <w:rPr>
          <w:rFonts w:ascii="Times New Roman" w:eastAsia="Times" w:hAnsi="Times New Roman" w:cs="Times New Roman"/>
          <w:sz w:val="24"/>
          <w:szCs w:val="24"/>
        </w:rPr>
        <w:t xml:space="preserve"> </w:t>
      </w:r>
      <w:proofErr w:type="spellStart"/>
      <w:r w:rsidR="00EA3DEA" w:rsidRPr="00B14ED8">
        <w:rPr>
          <w:rFonts w:ascii="Times New Roman" w:eastAsia="Times" w:hAnsi="Times New Roman" w:cs="Times New Roman"/>
          <w:sz w:val="24"/>
          <w:szCs w:val="24"/>
        </w:rPr>
        <w:t>adalah</w:t>
      </w:r>
      <w:proofErr w:type="spellEnd"/>
      <w:r w:rsidR="00EA3DEA" w:rsidRPr="00B14ED8">
        <w:rPr>
          <w:rFonts w:ascii="Times New Roman" w:eastAsia="Times" w:hAnsi="Times New Roman" w:cs="Times New Roman"/>
          <w:sz w:val="24"/>
          <w:szCs w:val="24"/>
        </w:rPr>
        <w:t xml:space="preserve"> </w:t>
      </w:r>
      <w:proofErr w:type="spellStart"/>
      <w:r w:rsidR="00EA3DEA" w:rsidRPr="00B14ED8">
        <w:rPr>
          <w:rFonts w:ascii="Times New Roman" w:eastAsia="Times" w:hAnsi="Times New Roman" w:cs="Times New Roman"/>
          <w:sz w:val="24"/>
          <w:szCs w:val="24"/>
        </w:rPr>
        <w:t>analisis</w:t>
      </w:r>
      <w:proofErr w:type="spellEnd"/>
      <w:r w:rsidR="00EA3DEA" w:rsidRPr="00B14ED8">
        <w:rPr>
          <w:rFonts w:ascii="Times New Roman" w:eastAsia="Times" w:hAnsi="Times New Roman" w:cs="Times New Roman"/>
          <w:sz w:val="24"/>
          <w:szCs w:val="24"/>
        </w:rPr>
        <w:t xml:space="preserve"> </w:t>
      </w:r>
      <w:proofErr w:type="spellStart"/>
      <w:r w:rsidR="00EA3DEA" w:rsidRPr="00B14ED8">
        <w:rPr>
          <w:rFonts w:ascii="Times New Roman" w:eastAsia="Times" w:hAnsi="Times New Roman" w:cs="Times New Roman"/>
          <w:sz w:val="24"/>
          <w:szCs w:val="24"/>
        </w:rPr>
        <w:t>kuantitatif</w:t>
      </w:r>
      <w:proofErr w:type="spellEnd"/>
      <w:r w:rsidR="00EA3DEA" w:rsidRPr="00B14ED8">
        <w:rPr>
          <w:rFonts w:ascii="Times New Roman" w:eastAsia="Times" w:hAnsi="Times New Roman" w:cs="Times New Roman"/>
          <w:sz w:val="24"/>
          <w:szCs w:val="24"/>
        </w:rPr>
        <w:t xml:space="preserve"> </w:t>
      </w:r>
      <w:proofErr w:type="spellStart"/>
      <w:r w:rsidR="00EA3DEA" w:rsidRPr="00B14ED8">
        <w:rPr>
          <w:rFonts w:ascii="Times New Roman" w:eastAsia="Times" w:hAnsi="Times New Roman" w:cs="Times New Roman"/>
          <w:sz w:val="24"/>
          <w:szCs w:val="24"/>
        </w:rPr>
        <w:t>dengan</w:t>
      </w:r>
      <w:proofErr w:type="spellEnd"/>
      <w:r w:rsidR="00EA3DEA" w:rsidRPr="00B14ED8">
        <w:rPr>
          <w:rFonts w:ascii="Times New Roman" w:eastAsia="Times" w:hAnsi="Times New Roman" w:cs="Times New Roman"/>
          <w:sz w:val="24"/>
          <w:szCs w:val="24"/>
        </w:rPr>
        <w:t xml:space="preserve"> </w:t>
      </w:r>
      <w:proofErr w:type="spellStart"/>
      <w:r w:rsidR="00EA3DEA" w:rsidRPr="00B14ED8">
        <w:rPr>
          <w:rFonts w:ascii="Times New Roman" w:eastAsia="Times" w:hAnsi="Times New Roman" w:cs="Times New Roman"/>
          <w:sz w:val="24"/>
          <w:szCs w:val="24"/>
        </w:rPr>
        <w:t>dukungan</w:t>
      </w:r>
      <w:proofErr w:type="spellEnd"/>
      <w:r w:rsidR="00EA3DEA" w:rsidRPr="00B14ED8">
        <w:rPr>
          <w:rFonts w:ascii="Times New Roman" w:eastAsia="Times" w:hAnsi="Times New Roman" w:cs="Times New Roman"/>
          <w:sz w:val="24"/>
          <w:szCs w:val="24"/>
        </w:rPr>
        <w:t xml:space="preserve"> program </w:t>
      </w:r>
      <w:proofErr w:type="spellStart"/>
      <w:r w:rsidR="00EA3DEA" w:rsidRPr="00B14ED8">
        <w:rPr>
          <w:rFonts w:ascii="Times New Roman" w:eastAsia="Times" w:hAnsi="Times New Roman" w:cs="Times New Roman"/>
          <w:sz w:val="24"/>
          <w:szCs w:val="24"/>
        </w:rPr>
        <w:t>aplikasi</w:t>
      </w:r>
      <w:proofErr w:type="spellEnd"/>
      <w:r w:rsidR="00EA3DEA" w:rsidRPr="00B14ED8">
        <w:rPr>
          <w:rFonts w:ascii="Times New Roman" w:eastAsia="Times" w:hAnsi="Times New Roman" w:cs="Times New Roman"/>
          <w:sz w:val="24"/>
          <w:szCs w:val="24"/>
        </w:rPr>
        <w:t xml:space="preserve"> E-Views.</w:t>
      </w:r>
      <w:r w:rsidR="00D3387A" w:rsidRPr="00B14ED8">
        <w:rPr>
          <w:rFonts w:ascii="Times New Roman" w:eastAsia="Times" w:hAnsi="Times New Roman" w:cs="Times New Roman"/>
          <w:sz w:val="24"/>
          <w:szCs w:val="24"/>
        </w:rPr>
        <w:t xml:space="preserve"> </w:t>
      </w:r>
      <w:proofErr w:type="spellStart"/>
      <w:r w:rsidR="00D3387A" w:rsidRPr="00B14ED8">
        <w:rPr>
          <w:rFonts w:ascii="Times New Roman" w:eastAsia="Times" w:hAnsi="Times New Roman" w:cs="Times New Roman"/>
          <w:sz w:val="24"/>
          <w:szCs w:val="24"/>
        </w:rPr>
        <w:t>Sampel</w:t>
      </w:r>
      <w:proofErr w:type="spellEnd"/>
      <w:r w:rsidR="00D3387A" w:rsidRPr="00B14ED8">
        <w:rPr>
          <w:rFonts w:ascii="Times New Roman" w:eastAsia="Times" w:hAnsi="Times New Roman" w:cs="Times New Roman"/>
          <w:sz w:val="24"/>
          <w:szCs w:val="24"/>
        </w:rPr>
        <w:t xml:space="preserve"> </w:t>
      </w:r>
      <w:proofErr w:type="spellStart"/>
      <w:r w:rsidR="00D3387A" w:rsidRPr="00B14ED8">
        <w:rPr>
          <w:rFonts w:ascii="Times New Roman" w:eastAsia="Times" w:hAnsi="Times New Roman" w:cs="Times New Roman"/>
          <w:sz w:val="24"/>
          <w:szCs w:val="24"/>
        </w:rPr>
        <w:t>penelitian</w:t>
      </w:r>
      <w:proofErr w:type="spellEnd"/>
      <w:r w:rsidR="00D3387A" w:rsidRPr="00B14ED8">
        <w:rPr>
          <w:rFonts w:ascii="Times New Roman" w:eastAsia="Times" w:hAnsi="Times New Roman" w:cs="Times New Roman"/>
          <w:sz w:val="24"/>
          <w:szCs w:val="24"/>
        </w:rPr>
        <w:t xml:space="preserve"> </w:t>
      </w:r>
      <w:proofErr w:type="spellStart"/>
      <w:r w:rsidR="00D3387A" w:rsidRPr="00B14ED8">
        <w:rPr>
          <w:rFonts w:ascii="Times New Roman" w:eastAsia="Times" w:hAnsi="Times New Roman" w:cs="Times New Roman"/>
          <w:sz w:val="24"/>
          <w:szCs w:val="24"/>
        </w:rPr>
        <w:t>mencakup</w:t>
      </w:r>
      <w:proofErr w:type="spellEnd"/>
      <w:r w:rsidR="00D3387A" w:rsidRPr="00B14ED8">
        <w:rPr>
          <w:rFonts w:ascii="Times New Roman" w:eastAsia="Times" w:hAnsi="Times New Roman" w:cs="Times New Roman"/>
          <w:sz w:val="24"/>
          <w:szCs w:val="24"/>
        </w:rPr>
        <w:t xml:space="preserve"> </w:t>
      </w:r>
      <w:r w:rsidR="00F379D3" w:rsidRPr="00B14ED8">
        <w:rPr>
          <w:rFonts w:ascii="Times New Roman" w:eastAsia="Times" w:hAnsi="Times New Roman" w:cs="Times New Roman"/>
          <w:sz w:val="24"/>
          <w:szCs w:val="24"/>
        </w:rPr>
        <w:t xml:space="preserve">11 </w:t>
      </w:r>
      <w:proofErr w:type="spellStart"/>
      <w:r w:rsidR="00F379D3" w:rsidRPr="00B14ED8">
        <w:rPr>
          <w:rFonts w:ascii="Times New Roman" w:eastAsia="Times" w:hAnsi="Times New Roman" w:cs="Times New Roman"/>
          <w:sz w:val="24"/>
          <w:szCs w:val="24"/>
        </w:rPr>
        <w:t>perbankan</w:t>
      </w:r>
      <w:proofErr w:type="spellEnd"/>
      <w:r w:rsidR="00F379D3" w:rsidRPr="00B14ED8">
        <w:rPr>
          <w:rFonts w:ascii="Times New Roman" w:eastAsia="Times" w:hAnsi="Times New Roman" w:cs="Times New Roman"/>
          <w:sz w:val="24"/>
          <w:szCs w:val="24"/>
        </w:rPr>
        <w:t xml:space="preserve"> </w:t>
      </w:r>
      <w:proofErr w:type="spellStart"/>
      <w:r w:rsidR="000D59B8" w:rsidRPr="00B14ED8">
        <w:rPr>
          <w:rFonts w:ascii="Times New Roman" w:eastAsia="Times" w:hAnsi="Times New Roman" w:cs="Times New Roman"/>
          <w:sz w:val="24"/>
          <w:szCs w:val="24"/>
        </w:rPr>
        <w:t>umum</w:t>
      </w:r>
      <w:proofErr w:type="spellEnd"/>
      <w:r w:rsidR="000D59B8" w:rsidRPr="00B14ED8">
        <w:rPr>
          <w:rFonts w:ascii="Times New Roman" w:eastAsia="Times" w:hAnsi="Times New Roman" w:cs="Times New Roman"/>
          <w:sz w:val="24"/>
          <w:szCs w:val="24"/>
        </w:rPr>
        <w:t xml:space="preserve"> </w:t>
      </w:r>
      <w:proofErr w:type="spellStart"/>
      <w:r w:rsidR="00F379D3" w:rsidRPr="00B14ED8">
        <w:rPr>
          <w:rFonts w:ascii="Times New Roman" w:eastAsia="Times" w:hAnsi="Times New Roman" w:cs="Times New Roman"/>
          <w:sz w:val="24"/>
          <w:szCs w:val="24"/>
        </w:rPr>
        <w:t>syariah</w:t>
      </w:r>
      <w:proofErr w:type="spellEnd"/>
      <w:r w:rsidR="00F379D3" w:rsidRPr="00B14ED8">
        <w:rPr>
          <w:rFonts w:ascii="Times New Roman" w:eastAsia="Times" w:hAnsi="Times New Roman" w:cs="Times New Roman"/>
          <w:sz w:val="24"/>
          <w:szCs w:val="24"/>
        </w:rPr>
        <w:t xml:space="preserve"> di Indonesia </w:t>
      </w:r>
      <w:proofErr w:type="spellStart"/>
      <w:r w:rsidR="00F379D3" w:rsidRPr="00B14ED8">
        <w:rPr>
          <w:rFonts w:ascii="Times New Roman" w:eastAsia="Times" w:hAnsi="Times New Roman" w:cs="Times New Roman"/>
          <w:sz w:val="24"/>
          <w:szCs w:val="24"/>
        </w:rPr>
        <w:t>dengan</w:t>
      </w:r>
      <w:proofErr w:type="spellEnd"/>
      <w:r w:rsidR="00F379D3" w:rsidRPr="00B14ED8">
        <w:rPr>
          <w:rFonts w:ascii="Times New Roman" w:eastAsia="Times" w:hAnsi="Times New Roman" w:cs="Times New Roman"/>
          <w:sz w:val="24"/>
          <w:szCs w:val="24"/>
        </w:rPr>
        <w:t xml:space="preserve"> </w:t>
      </w:r>
      <w:proofErr w:type="spellStart"/>
      <w:r w:rsidR="00F379D3" w:rsidRPr="00B14ED8">
        <w:rPr>
          <w:rFonts w:ascii="Times New Roman" w:eastAsia="Times" w:hAnsi="Times New Roman" w:cs="Times New Roman"/>
          <w:sz w:val="24"/>
          <w:szCs w:val="24"/>
        </w:rPr>
        <w:t>periode</w:t>
      </w:r>
      <w:proofErr w:type="spellEnd"/>
      <w:r w:rsidR="00F379D3" w:rsidRPr="00B14ED8">
        <w:rPr>
          <w:rFonts w:ascii="Times New Roman" w:eastAsia="Times" w:hAnsi="Times New Roman" w:cs="Times New Roman"/>
          <w:sz w:val="24"/>
          <w:szCs w:val="24"/>
        </w:rPr>
        <w:t xml:space="preserve"> </w:t>
      </w:r>
      <w:proofErr w:type="spellStart"/>
      <w:r w:rsidR="00F379D3" w:rsidRPr="00B14ED8">
        <w:rPr>
          <w:rFonts w:ascii="Times New Roman" w:eastAsia="Times" w:hAnsi="Times New Roman" w:cs="Times New Roman"/>
          <w:sz w:val="24"/>
          <w:szCs w:val="24"/>
        </w:rPr>
        <w:t>observasi</w:t>
      </w:r>
      <w:proofErr w:type="spellEnd"/>
      <w:r w:rsidR="00F379D3" w:rsidRPr="00B14ED8">
        <w:rPr>
          <w:rFonts w:ascii="Times New Roman" w:eastAsia="Times" w:hAnsi="Times New Roman" w:cs="Times New Roman"/>
          <w:sz w:val="24"/>
          <w:szCs w:val="24"/>
        </w:rPr>
        <w:t xml:space="preserve"> </w:t>
      </w:r>
      <w:proofErr w:type="spellStart"/>
      <w:r w:rsidR="00F379D3" w:rsidRPr="00B14ED8">
        <w:rPr>
          <w:rFonts w:ascii="Times New Roman" w:eastAsia="Times" w:hAnsi="Times New Roman" w:cs="Times New Roman"/>
          <w:sz w:val="24"/>
          <w:szCs w:val="24"/>
        </w:rPr>
        <w:t>tahun</w:t>
      </w:r>
      <w:proofErr w:type="spellEnd"/>
      <w:r w:rsidR="00F379D3" w:rsidRPr="00B14ED8">
        <w:rPr>
          <w:rFonts w:ascii="Times New Roman" w:eastAsia="Times" w:hAnsi="Times New Roman" w:cs="Times New Roman"/>
          <w:sz w:val="24"/>
          <w:szCs w:val="24"/>
        </w:rPr>
        <w:t xml:space="preserve"> 20</w:t>
      </w:r>
      <w:r w:rsidR="00B34BED" w:rsidRPr="00B14ED8">
        <w:rPr>
          <w:rFonts w:ascii="Times New Roman" w:eastAsia="Times" w:hAnsi="Times New Roman" w:cs="Times New Roman"/>
          <w:sz w:val="24"/>
          <w:szCs w:val="24"/>
        </w:rPr>
        <w:t>17</w:t>
      </w:r>
      <w:r w:rsidR="00F379D3" w:rsidRPr="00B14ED8">
        <w:rPr>
          <w:rFonts w:ascii="Times New Roman" w:eastAsia="Times" w:hAnsi="Times New Roman" w:cs="Times New Roman"/>
          <w:sz w:val="24"/>
          <w:szCs w:val="24"/>
        </w:rPr>
        <w:t xml:space="preserve"> </w:t>
      </w:r>
      <w:proofErr w:type="spellStart"/>
      <w:r w:rsidR="00FD3DAB" w:rsidRPr="00B14ED8">
        <w:rPr>
          <w:rFonts w:ascii="Times New Roman" w:eastAsia="Times" w:hAnsi="Times New Roman" w:cs="Times New Roman"/>
          <w:sz w:val="24"/>
          <w:szCs w:val="24"/>
        </w:rPr>
        <w:t>hingga</w:t>
      </w:r>
      <w:proofErr w:type="spellEnd"/>
      <w:r w:rsidR="00F379D3" w:rsidRPr="00B14ED8">
        <w:rPr>
          <w:rFonts w:ascii="Times New Roman" w:eastAsia="Times" w:hAnsi="Times New Roman" w:cs="Times New Roman"/>
          <w:sz w:val="24"/>
          <w:szCs w:val="24"/>
        </w:rPr>
        <w:t xml:space="preserve"> 202</w:t>
      </w:r>
      <w:r w:rsidR="00D95EFD" w:rsidRPr="00B14ED8">
        <w:rPr>
          <w:rFonts w:ascii="Times New Roman" w:eastAsia="Times" w:hAnsi="Times New Roman" w:cs="Times New Roman"/>
          <w:sz w:val="24"/>
          <w:szCs w:val="24"/>
        </w:rPr>
        <w:t>2</w:t>
      </w:r>
      <w:r w:rsidR="00DD0EFE" w:rsidRPr="00B14ED8">
        <w:rPr>
          <w:rFonts w:ascii="Times New Roman" w:eastAsia="Times" w:hAnsi="Times New Roman" w:cs="Times New Roman"/>
          <w:sz w:val="24"/>
          <w:szCs w:val="24"/>
        </w:rPr>
        <w:t>.</w:t>
      </w:r>
      <w:r w:rsidR="00FC23EE" w:rsidRPr="00B14ED8">
        <w:rPr>
          <w:rFonts w:ascii="Times New Roman" w:eastAsia="Times" w:hAnsi="Times New Roman" w:cs="Times New Roman"/>
          <w:sz w:val="24"/>
          <w:szCs w:val="24"/>
        </w:rPr>
        <w:t xml:space="preserve"> Hasil</w:t>
      </w:r>
      <w:r w:rsidR="00BA2E03" w:rsidRPr="00B14ED8">
        <w:rPr>
          <w:rFonts w:ascii="Times New Roman" w:eastAsia="Times" w:hAnsi="Times New Roman" w:cs="Times New Roman"/>
          <w:sz w:val="24"/>
          <w:szCs w:val="24"/>
        </w:rPr>
        <w:t xml:space="preserve"> </w:t>
      </w:r>
      <w:proofErr w:type="spellStart"/>
      <w:r w:rsidR="00BA2E03" w:rsidRPr="00B14ED8">
        <w:rPr>
          <w:rFonts w:ascii="Times New Roman" w:eastAsia="Times" w:hAnsi="Times New Roman" w:cs="Times New Roman"/>
          <w:sz w:val="24"/>
          <w:szCs w:val="24"/>
        </w:rPr>
        <w:t>analisis</w:t>
      </w:r>
      <w:proofErr w:type="spellEnd"/>
      <w:r w:rsidR="00BA2E03" w:rsidRPr="00B14ED8">
        <w:rPr>
          <w:rFonts w:ascii="Times New Roman" w:eastAsia="Times" w:hAnsi="Times New Roman" w:cs="Times New Roman"/>
          <w:sz w:val="24"/>
          <w:szCs w:val="24"/>
        </w:rPr>
        <w:t xml:space="preserve"> </w:t>
      </w:r>
      <w:proofErr w:type="spellStart"/>
      <w:r w:rsidR="00BA2E03" w:rsidRPr="00B14ED8">
        <w:rPr>
          <w:rFonts w:ascii="Times New Roman" w:eastAsia="Times" w:hAnsi="Times New Roman" w:cs="Times New Roman"/>
          <w:sz w:val="24"/>
          <w:szCs w:val="24"/>
        </w:rPr>
        <w:t>penelitian</w:t>
      </w:r>
      <w:proofErr w:type="spellEnd"/>
      <w:r w:rsidR="00BA2E03" w:rsidRPr="00B14ED8">
        <w:rPr>
          <w:rFonts w:ascii="Times New Roman" w:eastAsia="Times" w:hAnsi="Times New Roman" w:cs="Times New Roman"/>
          <w:sz w:val="24"/>
          <w:szCs w:val="24"/>
        </w:rPr>
        <w:t xml:space="preserve"> </w:t>
      </w:r>
      <w:proofErr w:type="spellStart"/>
      <w:r w:rsidR="00BA2E03" w:rsidRPr="00B14ED8">
        <w:rPr>
          <w:rFonts w:ascii="Times New Roman" w:eastAsia="Times" w:hAnsi="Times New Roman" w:cs="Times New Roman"/>
          <w:sz w:val="24"/>
          <w:szCs w:val="24"/>
        </w:rPr>
        <w:t>menunjukkan</w:t>
      </w:r>
      <w:proofErr w:type="spellEnd"/>
      <w:r w:rsidR="00BA2E03" w:rsidRPr="00B14ED8">
        <w:rPr>
          <w:rFonts w:ascii="Times New Roman" w:eastAsia="Times" w:hAnsi="Times New Roman" w:cs="Times New Roman"/>
          <w:sz w:val="24"/>
          <w:szCs w:val="24"/>
        </w:rPr>
        <w:t xml:space="preserve"> </w:t>
      </w:r>
      <w:proofErr w:type="spellStart"/>
      <w:r w:rsidR="00BA2E03" w:rsidRPr="00B14ED8">
        <w:rPr>
          <w:rFonts w:ascii="Times New Roman" w:eastAsia="Times" w:hAnsi="Times New Roman" w:cs="Times New Roman"/>
          <w:sz w:val="24"/>
          <w:szCs w:val="24"/>
        </w:rPr>
        <w:t>bahwa</w:t>
      </w:r>
      <w:proofErr w:type="spellEnd"/>
      <w:r w:rsidR="00BA2E03"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pembiayaan</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i/>
          <w:iCs/>
          <w:sz w:val="24"/>
          <w:szCs w:val="24"/>
        </w:rPr>
        <w:t>mudharabah</w:t>
      </w:r>
      <w:proofErr w:type="spellEnd"/>
      <w:r w:rsidR="007F4CBC" w:rsidRPr="00B14ED8">
        <w:rPr>
          <w:rFonts w:ascii="Times New Roman" w:eastAsia="Times" w:hAnsi="Times New Roman" w:cs="Times New Roman"/>
          <w:i/>
          <w:iCs/>
          <w:sz w:val="24"/>
          <w:szCs w:val="24"/>
        </w:rPr>
        <w:t xml:space="preserve"> </w:t>
      </w:r>
      <w:r w:rsidR="00043A9E" w:rsidRPr="00B14ED8">
        <w:rPr>
          <w:rFonts w:ascii="Times New Roman" w:eastAsia="Times" w:hAnsi="Times New Roman" w:cs="Times New Roman"/>
          <w:sz w:val="24"/>
          <w:szCs w:val="24"/>
        </w:rPr>
        <w:t xml:space="preserve">dan </w:t>
      </w:r>
      <w:proofErr w:type="spellStart"/>
      <w:r w:rsidR="00043A9E" w:rsidRPr="00B14ED8">
        <w:rPr>
          <w:rFonts w:ascii="Times New Roman" w:eastAsia="Times" w:hAnsi="Times New Roman" w:cs="Times New Roman"/>
          <w:sz w:val="24"/>
          <w:szCs w:val="24"/>
        </w:rPr>
        <w:t>pembiayaan</w:t>
      </w:r>
      <w:proofErr w:type="spellEnd"/>
      <w:r w:rsidR="00043A9E" w:rsidRPr="00B14ED8">
        <w:rPr>
          <w:rFonts w:ascii="Times New Roman" w:eastAsia="Times" w:hAnsi="Times New Roman" w:cs="Times New Roman"/>
          <w:sz w:val="24"/>
          <w:szCs w:val="24"/>
        </w:rPr>
        <w:t xml:space="preserve"> </w:t>
      </w:r>
      <w:proofErr w:type="spellStart"/>
      <w:r w:rsidR="00043A9E" w:rsidRPr="00B14ED8">
        <w:rPr>
          <w:rFonts w:ascii="Times New Roman" w:eastAsia="Times" w:hAnsi="Times New Roman" w:cs="Times New Roman"/>
          <w:i/>
          <w:iCs/>
          <w:sz w:val="24"/>
          <w:szCs w:val="24"/>
        </w:rPr>
        <w:t>musyarakah</w:t>
      </w:r>
      <w:proofErr w:type="spellEnd"/>
      <w:r w:rsidR="00043A9E" w:rsidRPr="00B14ED8">
        <w:rPr>
          <w:rFonts w:ascii="Times New Roman" w:eastAsia="Times" w:hAnsi="Times New Roman" w:cs="Times New Roman"/>
          <w:i/>
          <w:iCs/>
          <w:sz w:val="24"/>
          <w:szCs w:val="24"/>
        </w:rPr>
        <w:t xml:space="preserve"> </w:t>
      </w:r>
      <w:proofErr w:type="spellStart"/>
      <w:r w:rsidR="007F4CBC" w:rsidRPr="00B14ED8">
        <w:rPr>
          <w:rFonts w:ascii="Times New Roman" w:eastAsia="Times" w:hAnsi="Times New Roman" w:cs="Times New Roman"/>
          <w:sz w:val="24"/>
          <w:szCs w:val="24"/>
        </w:rPr>
        <w:t>berpengaruh</w:t>
      </w:r>
      <w:proofErr w:type="spellEnd"/>
      <w:r w:rsidR="001E3BD4" w:rsidRPr="00B14ED8">
        <w:rPr>
          <w:rFonts w:ascii="Times New Roman" w:eastAsia="Times" w:hAnsi="Times New Roman" w:cs="Times New Roman"/>
          <w:sz w:val="24"/>
          <w:szCs w:val="24"/>
        </w:rPr>
        <w:t xml:space="preserve"> </w:t>
      </w:r>
      <w:proofErr w:type="spellStart"/>
      <w:r w:rsidR="001E3BD4" w:rsidRPr="00B14ED8">
        <w:rPr>
          <w:rFonts w:ascii="Times New Roman" w:eastAsia="Times" w:hAnsi="Times New Roman" w:cs="Times New Roman"/>
          <w:sz w:val="24"/>
          <w:szCs w:val="24"/>
        </w:rPr>
        <w:t>positif</w:t>
      </w:r>
      <w:proofErr w:type="spellEnd"/>
      <w:r w:rsidR="001E3BD4"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terhadap</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kin</w:t>
      </w:r>
      <w:bookmarkStart w:id="0" w:name="_GoBack"/>
      <w:bookmarkEnd w:id="0"/>
      <w:r w:rsidR="007F4CBC" w:rsidRPr="00B14ED8">
        <w:rPr>
          <w:rFonts w:ascii="Times New Roman" w:eastAsia="Times" w:hAnsi="Times New Roman" w:cs="Times New Roman"/>
          <w:sz w:val="24"/>
          <w:szCs w:val="24"/>
        </w:rPr>
        <w:t>erja</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keuangan</w:t>
      </w:r>
      <w:proofErr w:type="spellEnd"/>
      <w:r w:rsidR="007F4CBC" w:rsidRPr="00B14ED8">
        <w:rPr>
          <w:rFonts w:ascii="Times New Roman" w:eastAsia="Times" w:hAnsi="Times New Roman" w:cs="Times New Roman"/>
          <w:sz w:val="24"/>
          <w:szCs w:val="24"/>
        </w:rPr>
        <w:t>.</w:t>
      </w:r>
      <w:r w:rsidR="00D07232"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Manajemen</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risiko</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memperlemah</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pengaruh</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pembiayaan</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i/>
          <w:iCs/>
          <w:sz w:val="24"/>
          <w:szCs w:val="24"/>
        </w:rPr>
        <w:lastRenderedPageBreak/>
        <w:t>mudharabah</w:t>
      </w:r>
      <w:proofErr w:type="spellEnd"/>
      <w:r w:rsidR="007F4CBC" w:rsidRPr="00B14ED8">
        <w:rPr>
          <w:rFonts w:ascii="Times New Roman" w:eastAsia="Times" w:hAnsi="Times New Roman" w:cs="Times New Roman"/>
          <w:sz w:val="24"/>
          <w:szCs w:val="24"/>
        </w:rPr>
        <w:t xml:space="preserve"> </w:t>
      </w:r>
      <w:r w:rsidR="00D07232" w:rsidRPr="00B14ED8">
        <w:rPr>
          <w:rFonts w:ascii="Times New Roman" w:eastAsia="Times" w:hAnsi="Times New Roman" w:cs="Times New Roman"/>
          <w:sz w:val="24"/>
          <w:szCs w:val="24"/>
        </w:rPr>
        <w:t xml:space="preserve">dan </w:t>
      </w:r>
      <w:proofErr w:type="spellStart"/>
      <w:r w:rsidR="007F4CBC" w:rsidRPr="00B14ED8">
        <w:rPr>
          <w:rFonts w:ascii="Times New Roman" w:eastAsia="Times" w:hAnsi="Times New Roman" w:cs="Times New Roman"/>
          <w:sz w:val="24"/>
          <w:szCs w:val="24"/>
        </w:rPr>
        <w:t>pembiayaan</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i/>
          <w:iCs/>
          <w:sz w:val="24"/>
          <w:szCs w:val="24"/>
        </w:rPr>
        <w:t>musyarakah</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terhadap</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kinerja</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keuangan</w:t>
      </w:r>
      <w:proofErr w:type="spellEnd"/>
      <w:r w:rsidR="007F4CBC" w:rsidRPr="00B14ED8">
        <w:rPr>
          <w:rFonts w:ascii="Times New Roman" w:eastAsia="Times" w:hAnsi="Times New Roman" w:cs="Times New Roman"/>
          <w:sz w:val="24"/>
          <w:szCs w:val="24"/>
        </w:rPr>
        <w:t>.</w:t>
      </w:r>
      <w:r w:rsidR="00C509FF" w:rsidRPr="00B14ED8">
        <w:rPr>
          <w:rFonts w:ascii="Times New Roman" w:eastAsia="Times" w:hAnsi="Times New Roman" w:cs="Times New Roman"/>
          <w:sz w:val="24"/>
          <w:szCs w:val="24"/>
        </w:rPr>
        <w:t xml:space="preserve"> </w:t>
      </w:r>
      <w:r w:rsidR="007F4CBC" w:rsidRPr="00B14ED8">
        <w:rPr>
          <w:rFonts w:ascii="Times New Roman" w:eastAsia="Times" w:hAnsi="Times New Roman" w:cs="Times New Roman"/>
          <w:sz w:val="24"/>
          <w:szCs w:val="24"/>
        </w:rPr>
        <w:t xml:space="preserve">Dari </w:t>
      </w:r>
      <w:proofErr w:type="spellStart"/>
      <w:r w:rsidR="007F4CBC" w:rsidRPr="00B14ED8">
        <w:rPr>
          <w:rFonts w:ascii="Times New Roman" w:eastAsia="Times" w:hAnsi="Times New Roman" w:cs="Times New Roman"/>
          <w:sz w:val="24"/>
          <w:szCs w:val="24"/>
        </w:rPr>
        <w:t>segi</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pengaruh</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langsung</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manajemen</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risiko</w:t>
      </w:r>
      <w:proofErr w:type="spellEnd"/>
      <w:r w:rsidR="007F4CBC" w:rsidRPr="00B14ED8">
        <w:rPr>
          <w:rFonts w:ascii="Times New Roman" w:eastAsia="Times" w:hAnsi="Times New Roman" w:cs="Times New Roman"/>
          <w:sz w:val="24"/>
          <w:szCs w:val="24"/>
        </w:rPr>
        <w:t xml:space="preserve"> </w:t>
      </w:r>
      <w:proofErr w:type="spellStart"/>
      <w:r w:rsidR="00C509FF" w:rsidRPr="00B14ED8">
        <w:rPr>
          <w:rFonts w:ascii="Times New Roman" w:eastAsia="Times" w:hAnsi="Times New Roman" w:cs="Times New Roman"/>
          <w:sz w:val="24"/>
          <w:szCs w:val="24"/>
        </w:rPr>
        <w:t>memberikan</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pengaruh</w:t>
      </w:r>
      <w:proofErr w:type="spellEnd"/>
      <w:r w:rsidR="007F4CBC" w:rsidRPr="00B14ED8">
        <w:rPr>
          <w:rFonts w:ascii="Times New Roman" w:eastAsia="Times" w:hAnsi="Times New Roman" w:cs="Times New Roman"/>
          <w:sz w:val="24"/>
          <w:szCs w:val="24"/>
        </w:rPr>
        <w:t xml:space="preserve"> paling </w:t>
      </w:r>
      <w:proofErr w:type="spellStart"/>
      <w:r w:rsidR="007F4CBC" w:rsidRPr="00B14ED8">
        <w:rPr>
          <w:rFonts w:ascii="Times New Roman" w:eastAsia="Times" w:hAnsi="Times New Roman" w:cs="Times New Roman"/>
          <w:sz w:val="24"/>
          <w:szCs w:val="24"/>
        </w:rPr>
        <w:t>kuat</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dibandingkan</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dengan</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pembiayaan</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i/>
          <w:iCs/>
          <w:sz w:val="24"/>
          <w:szCs w:val="24"/>
        </w:rPr>
        <w:t>mudharabah</w:t>
      </w:r>
      <w:proofErr w:type="spellEnd"/>
      <w:r w:rsidR="007F4CBC" w:rsidRPr="00B14ED8">
        <w:rPr>
          <w:rFonts w:ascii="Times New Roman" w:eastAsia="Times" w:hAnsi="Times New Roman" w:cs="Times New Roman"/>
          <w:sz w:val="24"/>
          <w:szCs w:val="24"/>
        </w:rPr>
        <w:t xml:space="preserve"> dan </w:t>
      </w:r>
      <w:proofErr w:type="spellStart"/>
      <w:r w:rsidR="007F4CBC" w:rsidRPr="00B14ED8">
        <w:rPr>
          <w:rFonts w:ascii="Times New Roman" w:eastAsia="Times" w:hAnsi="Times New Roman" w:cs="Times New Roman"/>
          <w:sz w:val="24"/>
          <w:szCs w:val="24"/>
        </w:rPr>
        <w:t>pembiayaan</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i/>
          <w:iCs/>
          <w:sz w:val="24"/>
          <w:szCs w:val="24"/>
        </w:rPr>
        <w:t>musyarakah</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Pembiayaan</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i/>
          <w:iCs/>
          <w:sz w:val="24"/>
          <w:szCs w:val="24"/>
        </w:rPr>
        <w:t>mudharabah</w:t>
      </w:r>
      <w:proofErr w:type="spellEnd"/>
      <w:r w:rsidR="00C509FF" w:rsidRPr="00B14ED8">
        <w:rPr>
          <w:rFonts w:ascii="Times New Roman" w:eastAsia="Times" w:hAnsi="Times New Roman" w:cs="Times New Roman"/>
          <w:i/>
          <w:iCs/>
          <w:sz w:val="24"/>
          <w:szCs w:val="24"/>
        </w:rPr>
        <w:t xml:space="preserve"> </w:t>
      </w:r>
      <w:proofErr w:type="spellStart"/>
      <w:r w:rsidR="007F4CBC" w:rsidRPr="00B14ED8">
        <w:rPr>
          <w:rFonts w:ascii="Times New Roman" w:eastAsia="Times" w:hAnsi="Times New Roman" w:cs="Times New Roman"/>
          <w:sz w:val="24"/>
          <w:szCs w:val="24"/>
        </w:rPr>
        <w:t>menghasilkan</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pengaruh</w:t>
      </w:r>
      <w:proofErr w:type="spellEnd"/>
      <w:r w:rsidR="007F4CBC" w:rsidRPr="00B14ED8">
        <w:rPr>
          <w:rFonts w:ascii="Times New Roman" w:eastAsia="Times" w:hAnsi="Times New Roman" w:cs="Times New Roman"/>
          <w:sz w:val="24"/>
          <w:szCs w:val="24"/>
        </w:rPr>
        <w:t xml:space="preserve"> paling </w:t>
      </w:r>
      <w:proofErr w:type="spellStart"/>
      <w:r w:rsidR="007F4CBC" w:rsidRPr="00B14ED8">
        <w:rPr>
          <w:rFonts w:ascii="Times New Roman" w:eastAsia="Times" w:hAnsi="Times New Roman" w:cs="Times New Roman"/>
          <w:sz w:val="24"/>
          <w:szCs w:val="24"/>
        </w:rPr>
        <w:t>kecil</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terhadap</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nilai</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kinerja</w:t>
      </w:r>
      <w:proofErr w:type="spellEnd"/>
      <w:r w:rsidR="007F4CBC" w:rsidRPr="00B14ED8">
        <w:rPr>
          <w:rFonts w:ascii="Times New Roman" w:eastAsia="Times" w:hAnsi="Times New Roman" w:cs="Times New Roman"/>
          <w:sz w:val="24"/>
          <w:szCs w:val="24"/>
        </w:rPr>
        <w:t xml:space="preserve"> </w:t>
      </w:r>
      <w:proofErr w:type="spellStart"/>
      <w:r w:rsidR="007F4CBC" w:rsidRPr="00B14ED8">
        <w:rPr>
          <w:rFonts w:ascii="Times New Roman" w:eastAsia="Times" w:hAnsi="Times New Roman" w:cs="Times New Roman"/>
          <w:sz w:val="24"/>
          <w:szCs w:val="24"/>
        </w:rPr>
        <w:t>keuangan</w:t>
      </w:r>
      <w:proofErr w:type="spellEnd"/>
      <w:r w:rsidR="007F4CBC" w:rsidRPr="00B14ED8">
        <w:rPr>
          <w:rFonts w:ascii="Times New Roman" w:eastAsia="Times" w:hAnsi="Times New Roman" w:cs="Times New Roman"/>
          <w:sz w:val="24"/>
          <w:szCs w:val="24"/>
        </w:rPr>
        <w:t>.</w:t>
      </w:r>
    </w:p>
    <w:p w14:paraId="6A77F7EC" w14:textId="77777777" w:rsidR="00705569" w:rsidRPr="00B14ED8" w:rsidRDefault="00705569" w:rsidP="00B14ED8">
      <w:pPr>
        <w:spacing w:after="0" w:line="240" w:lineRule="auto"/>
        <w:jc w:val="both"/>
        <w:rPr>
          <w:rFonts w:ascii="Times New Roman" w:eastAsia="Times" w:hAnsi="Times New Roman" w:cs="Times New Roman"/>
          <w:b/>
          <w:i/>
          <w:sz w:val="24"/>
          <w:szCs w:val="24"/>
        </w:rPr>
      </w:pPr>
    </w:p>
    <w:p w14:paraId="7DAB2BB9" w14:textId="4ED20789" w:rsidR="005111AC" w:rsidRPr="00B14ED8" w:rsidRDefault="00D46250" w:rsidP="00B14ED8">
      <w:pPr>
        <w:spacing w:after="0" w:line="240" w:lineRule="auto"/>
        <w:jc w:val="both"/>
        <w:rPr>
          <w:rFonts w:ascii="Times New Roman" w:eastAsia="Times" w:hAnsi="Times New Roman" w:cs="Times New Roman"/>
          <w:sz w:val="24"/>
          <w:szCs w:val="24"/>
        </w:rPr>
      </w:pPr>
      <w:r w:rsidRPr="00B14ED8">
        <w:rPr>
          <w:rFonts w:ascii="Times New Roman" w:eastAsia="Times" w:hAnsi="Times New Roman" w:cs="Times New Roman"/>
          <w:b/>
          <w:i/>
          <w:sz w:val="24"/>
          <w:szCs w:val="24"/>
        </w:rPr>
        <w:t xml:space="preserve">Kata </w:t>
      </w:r>
      <w:proofErr w:type="spellStart"/>
      <w:r w:rsidRPr="00B14ED8">
        <w:rPr>
          <w:rFonts w:ascii="Times New Roman" w:eastAsia="Times" w:hAnsi="Times New Roman" w:cs="Times New Roman"/>
          <w:b/>
          <w:i/>
          <w:sz w:val="24"/>
          <w:szCs w:val="24"/>
        </w:rPr>
        <w:t>kunci</w:t>
      </w:r>
      <w:proofErr w:type="spellEnd"/>
      <w:r w:rsidRPr="00B14ED8">
        <w:rPr>
          <w:rFonts w:ascii="Times New Roman" w:eastAsia="Times" w:hAnsi="Times New Roman" w:cs="Times New Roman"/>
          <w:sz w:val="24"/>
          <w:szCs w:val="24"/>
        </w:rPr>
        <w:t xml:space="preserve">: </w:t>
      </w:r>
      <w:r w:rsidR="000752AE" w:rsidRPr="00B14ED8">
        <w:rPr>
          <w:rFonts w:ascii="Times New Roman" w:eastAsia="Times" w:hAnsi="Times New Roman" w:cs="Times New Roman"/>
          <w:i/>
          <w:iCs/>
          <w:sz w:val="24"/>
          <w:szCs w:val="24"/>
        </w:rPr>
        <w:t xml:space="preserve">Profit Loss Sharing, </w:t>
      </w:r>
      <w:proofErr w:type="spellStart"/>
      <w:r w:rsidR="000752AE" w:rsidRPr="00B14ED8">
        <w:rPr>
          <w:rFonts w:ascii="Times New Roman" w:eastAsia="Times" w:hAnsi="Times New Roman" w:cs="Times New Roman"/>
          <w:i/>
          <w:iCs/>
          <w:sz w:val="24"/>
          <w:szCs w:val="24"/>
        </w:rPr>
        <w:t>Mudharabah</w:t>
      </w:r>
      <w:proofErr w:type="spellEnd"/>
      <w:r w:rsidR="000752AE" w:rsidRPr="00B14ED8">
        <w:rPr>
          <w:rFonts w:ascii="Times New Roman" w:eastAsia="Times" w:hAnsi="Times New Roman" w:cs="Times New Roman"/>
          <w:i/>
          <w:iCs/>
          <w:sz w:val="24"/>
          <w:szCs w:val="24"/>
        </w:rPr>
        <w:t xml:space="preserve">, </w:t>
      </w:r>
      <w:proofErr w:type="spellStart"/>
      <w:r w:rsidR="000752AE" w:rsidRPr="00B14ED8">
        <w:rPr>
          <w:rFonts w:ascii="Times New Roman" w:eastAsia="Times" w:hAnsi="Times New Roman" w:cs="Times New Roman"/>
          <w:i/>
          <w:iCs/>
          <w:sz w:val="24"/>
          <w:szCs w:val="24"/>
        </w:rPr>
        <w:t>Musyarakah</w:t>
      </w:r>
      <w:proofErr w:type="spellEnd"/>
      <w:r w:rsidR="000752AE" w:rsidRPr="00B14ED8">
        <w:rPr>
          <w:rFonts w:ascii="Times New Roman" w:eastAsia="Times" w:hAnsi="Times New Roman" w:cs="Times New Roman"/>
          <w:i/>
          <w:iCs/>
          <w:sz w:val="24"/>
          <w:szCs w:val="24"/>
        </w:rPr>
        <w:t xml:space="preserve">, </w:t>
      </w:r>
      <w:proofErr w:type="spellStart"/>
      <w:r w:rsidR="000752AE" w:rsidRPr="00B14ED8">
        <w:rPr>
          <w:rFonts w:ascii="Times New Roman" w:eastAsia="Times" w:hAnsi="Times New Roman" w:cs="Times New Roman"/>
          <w:sz w:val="24"/>
          <w:szCs w:val="24"/>
        </w:rPr>
        <w:t>Manajemen</w:t>
      </w:r>
      <w:proofErr w:type="spellEnd"/>
      <w:r w:rsidR="000752AE" w:rsidRPr="00B14ED8">
        <w:rPr>
          <w:rFonts w:ascii="Times New Roman" w:eastAsia="Times" w:hAnsi="Times New Roman" w:cs="Times New Roman"/>
          <w:sz w:val="24"/>
          <w:szCs w:val="24"/>
        </w:rPr>
        <w:t xml:space="preserve"> </w:t>
      </w:r>
      <w:proofErr w:type="spellStart"/>
      <w:r w:rsidR="000752AE" w:rsidRPr="00B14ED8">
        <w:rPr>
          <w:rFonts w:ascii="Times New Roman" w:eastAsia="Times" w:hAnsi="Times New Roman" w:cs="Times New Roman"/>
          <w:sz w:val="24"/>
          <w:szCs w:val="24"/>
        </w:rPr>
        <w:t>Risiko</w:t>
      </w:r>
      <w:proofErr w:type="spellEnd"/>
    </w:p>
    <w:p w14:paraId="57D5B8A6" w14:textId="77777777" w:rsidR="001E7603" w:rsidRPr="00B14ED8" w:rsidRDefault="001E7603">
      <w:pPr>
        <w:spacing w:after="0" w:line="240" w:lineRule="auto"/>
        <w:jc w:val="both"/>
        <w:rPr>
          <w:rFonts w:ascii="Times New Roman" w:eastAsia="Times New Roman" w:hAnsi="Times New Roman" w:cs="Times New Roman"/>
          <w:sz w:val="24"/>
          <w:szCs w:val="24"/>
        </w:rPr>
      </w:pPr>
    </w:p>
    <w:p w14:paraId="0254AE6C" w14:textId="6131AA00" w:rsidR="007273F8" w:rsidRPr="00B14ED8" w:rsidRDefault="00D46250" w:rsidP="00B14ED8">
      <w:pPr>
        <w:tabs>
          <w:tab w:val="left" w:pos="567"/>
        </w:tabs>
        <w:spacing w:after="0" w:line="360" w:lineRule="auto"/>
        <w:jc w:val="both"/>
        <w:rPr>
          <w:rFonts w:ascii="Times New Roman" w:eastAsia="Times New Roman" w:hAnsi="Times New Roman" w:cs="Times New Roman"/>
          <w:b/>
          <w:sz w:val="24"/>
          <w:szCs w:val="24"/>
        </w:rPr>
      </w:pPr>
      <w:r w:rsidRPr="00B14ED8">
        <w:rPr>
          <w:rFonts w:ascii="Times New Roman" w:eastAsia="Times New Roman" w:hAnsi="Times New Roman" w:cs="Times New Roman"/>
          <w:b/>
          <w:sz w:val="24"/>
          <w:szCs w:val="24"/>
        </w:rPr>
        <w:t>A.</w:t>
      </w:r>
      <w:r w:rsidRPr="00B14ED8">
        <w:rPr>
          <w:rFonts w:ascii="Times New Roman" w:eastAsia="Times New Roman" w:hAnsi="Times New Roman" w:cs="Times New Roman"/>
          <w:b/>
          <w:sz w:val="24"/>
          <w:szCs w:val="24"/>
        </w:rPr>
        <w:tab/>
        <w:t>PENDAHULUAN</w:t>
      </w:r>
    </w:p>
    <w:p w14:paraId="2D0287BD" w14:textId="65A4BEA4" w:rsidR="009C0AC4" w:rsidRPr="00B14ED8" w:rsidRDefault="004C65AB" w:rsidP="00B14ED8">
      <w:pPr>
        <w:spacing w:after="0" w:line="360" w:lineRule="auto"/>
        <w:ind w:firstLine="567"/>
        <w:jc w:val="both"/>
        <w:rPr>
          <w:rFonts w:ascii="Times New Roman" w:eastAsia="Times New Roman" w:hAnsi="Times New Roman" w:cs="Times New Roman"/>
          <w:sz w:val="24"/>
          <w:szCs w:val="24"/>
        </w:rPr>
      </w:pPr>
      <w:proofErr w:type="spellStart"/>
      <w:r w:rsidRPr="00B14ED8">
        <w:rPr>
          <w:rFonts w:ascii="Times New Roman" w:eastAsia="Times New Roman" w:hAnsi="Times New Roman" w:cs="Times New Roman"/>
          <w:sz w:val="24"/>
          <w:szCs w:val="24"/>
        </w:rPr>
        <w:t>Sektor</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bisnis</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keuangan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islam</w:t>
      </w:r>
      <w:proofErr w:type="spellEnd"/>
      <w:r w:rsidR="00F316B0" w:rsidRPr="00B14ED8">
        <w:rPr>
          <w:rFonts w:ascii="Times New Roman" w:eastAsia="Times New Roman" w:hAnsi="Times New Roman" w:cs="Times New Roman"/>
          <w:sz w:val="24"/>
          <w:szCs w:val="24"/>
        </w:rPr>
        <w:t xml:space="preserve"> </w:t>
      </w:r>
      <w:proofErr w:type="spellStart"/>
      <w:r w:rsidR="00F316B0" w:rsidRPr="00B14ED8">
        <w:rPr>
          <w:rFonts w:ascii="Times New Roman" w:eastAsia="Times New Roman" w:hAnsi="Times New Roman" w:cs="Times New Roman"/>
          <w:sz w:val="24"/>
          <w:szCs w:val="24"/>
        </w:rPr>
        <w:t>telah</w:t>
      </w:r>
      <w:proofErr w:type="spellEnd"/>
      <w:r w:rsidR="00F316B0" w:rsidRPr="00B14ED8">
        <w:rPr>
          <w:rFonts w:ascii="Times New Roman" w:eastAsia="Times New Roman" w:hAnsi="Times New Roman" w:cs="Times New Roman"/>
          <w:sz w:val="24"/>
          <w:szCs w:val="24"/>
        </w:rPr>
        <w:t xml:space="preserve"> </w:t>
      </w:r>
      <w:proofErr w:type="spellStart"/>
      <w:r w:rsidR="00F316B0" w:rsidRPr="00B14ED8">
        <w:rPr>
          <w:rFonts w:ascii="Times New Roman" w:eastAsia="Times New Roman" w:hAnsi="Times New Roman" w:cs="Times New Roman"/>
          <w:sz w:val="24"/>
          <w:szCs w:val="24"/>
        </w:rPr>
        <w:t>menjadi</w:t>
      </w:r>
      <w:proofErr w:type="spellEnd"/>
      <w:r w:rsidR="00F316B0" w:rsidRPr="00B14ED8">
        <w:rPr>
          <w:rFonts w:ascii="Times New Roman" w:eastAsia="Times New Roman" w:hAnsi="Times New Roman" w:cs="Times New Roman"/>
          <w:sz w:val="24"/>
          <w:szCs w:val="24"/>
        </w:rPr>
        <w:t xml:space="preserve"> salah </w:t>
      </w:r>
      <w:proofErr w:type="spellStart"/>
      <w:r w:rsidR="00F316B0" w:rsidRPr="00B14ED8">
        <w:rPr>
          <w:rFonts w:ascii="Times New Roman" w:eastAsia="Times New Roman" w:hAnsi="Times New Roman" w:cs="Times New Roman"/>
          <w:sz w:val="24"/>
          <w:szCs w:val="24"/>
        </w:rPr>
        <w:t>satu</w:t>
      </w:r>
      <w:proofErr w:type="spellEnd"/>
      <w:r w:rsidR="00F316B0" w:rsidRPr="00B14ED8">
        <w:rPr>
          <w:rFonts w:ascii="Times New Roman" w:eastAsia="Times New Roman" w:hAnsi="Times New Roman" w:cs="Times New Roman"/>
          <w:sz w:val="24"/>
          <w:szCs w:val="24"/>
        </w:rPr>
        <w:t xml:space="preserve"> </w:t>
      </w:r>
      <w:proofErr w:type="spellStart"/>
      <w:r w:rsidR="00F316B0" w:rsidRPr="00B14ED8">
        <w:rPr>
          <w:rFonts w:ascii="Times New Roman" w:eastAsia="Times New Roman" w:hAnsi="Times New Roman" w:cs="Times New Roman"/>
          <w:sz w:val="24"/>
          <w:szCs w:val="24"/>
        </w:rPr>
        <w:t>industri</w:t>
      </w:r>
      <w:proofErr w:type="spellEnd"/>
      <w:r w:rsidR="00F316B0" w:rsidRPr="00B14ED8">
        <w:rPr>
          <w:rFonts w:ascii="Times New Roman" w:eastAsia="Times New Roman" w:hAnsi="Times New Roman" w:cs="Times New Roman"/>
          <w:sz w:val="24"/>
          <w:szCs w:val="24"/>
        </w:rPr>
        <w:t xml:space="preserve"> yang paling </w:t>
      </w:r>
      <w:proofErr w:type="spellStart"/>
      <w:r w:rsidR="00F316B0" w:rsidRPr="00B14ED8">
        <w:rPr>
          <w:rFonts w:ascii="Times New Roman" w:eastAsia="Times New Roman" w:hAnsi="Times New Roman" w:cs="Times New Roman"/>
          <w:sz w:val="24"/>
          <w:szCs w:val="24"/>
        </w:rPr>
        <w:t>cepat</w:t>
      </w:r>
      <w:proofErr w:type="spellEnd"/>
      <w:r w:rsidR="00F316B0" w:rsidRPr="00B14ED8">
        <w:rPr>
          <w:rFonts w:ascii="Times New Roman" w:eastAsia="Times New Roman" w:hAnsi="Times New Roman" w:cs="Times New Roman"/>
          <w:sz w:val="24"/>
          <w:szCs w:val="24"/>
        </w:rPr>
        <w:t xml:space="preserve"> </w:t>
      </w:r>
      <w:proofErr w:type="spellStart"/>
      <w:r w:rsidR="00F316B0" w:rsidRPr="00B14ED8">
        <w:rPr>
          <w:rFonts w:ascii="Times New Roman" w:eastAsia="Times New Roman" w:hAnsi="Times New Roman" w:cs="Times New Roman"/>
          <w:sz w:val="24"/>
          <w:szCs w:val="24"/>
        </w:rPr>
        <w:t>berkembang</w:t>
      </w:r>
      <w:proofErr w:type="spellEnd"/>
      <w:r w:rsidR="00F316B0" w:rsidRPr="00B14ED8">
        <w:rPr>
          <w:rFonts w:ascii="Times New Roman" w:eastAsia="Times New Roman" w:hAnsi="Times New Roman" w:cs="Times New Roman"/>
          <w:sz w:val="24"/>
          <w:szCs w:val="24"/>
        </w:rPr>
        <w:t xml:space="preserve"> </w:t>
      </w:r>
      <w:proofErr w:type="spellStart"/>
      <w:r w:rsidR="00F316B0" w:rsidRPr="00B14ED8">
        <w:rPr>
          <w:rFonts w:ascii="Times New Roman" w:eastAsia="Times New Roman" w:hAnsi="Times New Roman" w:cs="Times New Roman"/>
          <w:sz w:val="24"/>
          <w:szCs w:val="24"/>
        </w:rPr>
        <w:t>selama</w:t>
      </w:r>
      <w:proofErr w:type="spellEnd"/>
      <w:r w:rsidR="00F316B0" w:rsidRPr="00B14ED8">
        <w:rPr>
          <w:rFonts w:ascii="Times New Roman" w:eastAsia="Times New Roman" w:hAnsi="Times New Roman" w:cs="Times New Roman"/>
          <w:sz w:val="24"/>
          <w:szCs w:val="24"/>
        </w:rPr>
        <w:t xml:space="preserve"> </w:t>
      </w:r>
      <w:proofErr w:type="spellStart"/>
      <w:r w:rsidR="00F316B0" w:rsidRPr="00B14ED8">
        <w:rPr>
          <w:rFonts w:ascii="Times New Roman" w:eastAsia="Times New Roman" w:hAnsi="Times New Roman" w:cs="Times New Roman"/>
          <w:sz w:val="24"/>
          <w:szCs w:val="24"/>
        </w:rPr>
        <w:t>sepuluh</w:t>
      </w:r>
      <w:proofErr w:type="spellEnd"/>
      <w:r w:rsidR="00F316B0" w:rsidRPr="00B14ED8">
        <w:rPr>
          <w:rFonts w:ascii="Times New Roman" w:eastAsia="Times New Roman" w:hAnsi="Times New Roman" w:cs="Times New Roman"/>
          <w:sz w:val="24"/>
          <w:szCs w:val="24"/>
        </w:rPr>
        <w:t xml:space="preserve"> </w:t>
      </w:r>
      <w:proofErr w:type="spellStart"/>
      <w:r w:rsidR="00F316B0" w:rsidRPr="00B14ED8">
        <w:rPr>
          <w:rFonts w:ascii="Times New Roman" w:eastAsia="Times New Roman" w:hAnsi="Times New Roman" w:cs="Times New Roman"/>
          <w:sz w:val="24"/>
          <w:szCs w:val="24"/>
        </w:rPr>
        <w:t>tahun</w:t>
      </w:r>
      <w:proofErr w:type="spellEnd"/>
      <w:r w:rsidR="00F316B0" w:rsidRPr="00B14ED8">
        <w:rPr>
          <w:rFonts w:ascii="Times New Roman" w:eastAsia="Times New Roman" w:hAnsi="Times New Roman" w:cs="Times New Roman"/>
          <w:sz w:val="24"/>
          <w:szCs w:val="24"/>
        </w:rPr>
        <w:t xml:space="preserve"> </w:t>
      </w:r>
      <w:proofErr w:type="spellStart"/>
      <w:r w:rsidR="00F316B0" w:rsidRPr="00B14ED8">
        <w:rPr>
          <w:rFonts w:ascii="Times New Roman" w:eastAsia="Times New Roman" w:hAnsi="Times New Roman" w:cs="Times New Roman"/>
          <w:sz w:val="24"/>
          <w:szCs w:val="24"/>
        </w:rPr>
        <w:t>terakhir</w:t>
      </w:r>
      <w:proofErr w:type="spellEnd"/>
      <w:r w:rsidR="00F316B0" w:rsidRPr="00B14ED8">
        <w:rPr>
          <w:rFonts w:ascii="Times New Roman" w:eastAsia="Times New Roman" w:hAnsi="Times New Roman" w:cs="Times New Roman"/>
          <w:sz w:val="24"/>
          <w:szCs w:val="24"/>
        </w:rPr>
        <w:t xml:space="preserve">, yang </w:t>
      </w:r>
      <w:proofErr w:type="spellStart"/>
      <w:r w:rsidR="00F316B0" w:rsidRPr="00B14ED8">
        <w:rPr>
          <w:rFonts w:ascii="Times New Roman" w:eastAsia="Times New Roman" w:hAnsi="Times New Roman" w:cs="Times New Roman"/>
          <w:sz w:val="24"/>
          <w:szCs w:val="24"/>
        </w:rPr>
        <w:t>diperkirakan</w:t>
      </w:r>
      <w:proofErr w:type="spellEnd"/>
      <w:r w:rsidR="00F316B0" w:rsidRPr="00B14ED8">
        <w:rPr>
          <w:rFonts w:ascii="Times New Roman" w:eastAsia="Times New Roman" w:hAnsi="Times New Roman" w:cs="Times New Roman"/>
          <w:sz w:val="24"/>
          <w:szCs w:val="24"/>
        </w:rPr>
        <w:t xml:space="preserve"> </w:t>
      </w:r>
      <w:proofErr w:type="spellStart"/>
      <w:r w:rsidR="00F316B0" w:rsidRPr="00B14ED8">
        <w:rPr>
          <w:rFonts w:ascii="Times New Roman" w:eastAsia="Times New Roman" w:hAnsi="Times New Roman" w:cs="Times New Roman"/>
          <w:sz w:val="24"/>
          <w:szCs w:val="24"/>
        </w:rPr>
        <w:t>bernilai</w:t>
      </w:r>
      <w:proofErr w:type="spellEnd"/>
      <w:r w:rsidR="00F316B0" w:rsidRPr="00B14ED8">
        <w:rPr>
          <w:rFonts w:ascii="Times New Roman" w:eastAsia="Times New Roman" w:hAnsi="Times New Roman" w:cs="Times New Roman"/>
          <w:sz w:val="24"/>
          <w:szCs w:val="24"/>
        </w:rPr>
        <w:t xml:space="preserve"> US$2,4 </w:t>
      </w:r>
      <w:proofErr w:type="spellStart"/>
      <w:r w:rsidR="00F316B0" w:rsidRPr="00B14ED8">
        <w:rPr>
          <w:rFonts w:ascii="Times New Roman" w:eastAsia="Times New Roman" w:hAnsi="Times New Roman" w:cs="Times New Roman"/>
          <w:sz w:val="24"/>
          <w:szCs w:val="24"/>
        </w:rPr>
        <w:t>triliun</w:t>
      </w:r>
      <w:proofErr w:type="spellEnd"/>
      <w:r w:rsidR="00F316B0" w:rsidRPr="00B14ED8">
        <w:rPr>
          <w:rFonts w:ascii="Times New Roman" w:eastAsia="Times New Roman" w:hAnsi="Times New Roman" w:cs="Times New Roman"/>
          <w:sz w:val="24"/>
          <w:szCs w:val="24"/>
        </w:rPr>
        <w:t xml:space="preserve"> pada </w:t>
      </w:r>
      <w:proofErr w:type="spellStart"/>
      <w:r w:rsidR="00F316B0" w:rsidRPr="00B14ED8">
        <w:rPr>
          <w:rFonts w:ascii="Times New Roman" w:eastAsia="Times New Roman" w:hAnsi="Times New Roman" w:cs="Times New Roman"/>
          <w:sz w:val="24"/>
          <w:szCs w:val="24"/>
        </w:rPr>
        <w:t>tahun</w:t>
      </w:r>
      <w:proofErr w:type="spellEnd"/>
      <w:r w:rsidR="00F316B0" w:rsidRPr="00B14ED8">
        <w:rPr>
          <w:rFonts w:ascii="Times New Roman" w:eastAsia="Times New Roman" w:hAnsi="Times New Roman" w:cs="Times New Roman"/>
          <w:sz w:val="24"/>
          <w:szCs w:val="24"/>
        </w:rPr>
        <w:t xml:space="preserve"> 2017 </w:t>
      </w:r>
      <w:proofErr w:type="spellStart"/>
      <w:r w:rsidR="00F316B0" w:rsidRPr="00B14ED8">
        <w:rPr>
          <w:rFonts w:ascii="Times New Roman" w:eastAsia="Times New Roman" w:hAnsi="Times New Roman" w:cs="Times New Roman"/>
          <w:sz w:val="24"/>
          <w:szCs w:val="24"/>
        </w:rPr>
        <w:t>dengan</w:t>
      </w:r>
      <w:proofErr w:type="spellEnd"/>
      <w:r w:rsidR="005D1FD8" w:rsidRPr="00B14ED8">
        <w:rPr>
          <w:rFonts w:ascii="Times New Roman" w:eastAsia="Times New Roman" w:hAnsi="Times New Roman" w:cs="Times New Roman"/>
          <w:sz w:val="24"/>
          <w:szCs w:val="24"/>
        </w:rPr>
        <w:t xml:space="preserve"> </w:t>
      </w:r>
      <w:proofErr w:type="spellStart"/>
      <w:r w:rsidR="00CB380D" w:rsidRPr="00B14ED8">
        <w:rPr>
          <w:rFonts w:ascii="Times New Roman" w:eastAsia="Times New Roman" w:hAnsi="Times New Roman" w:cs="Times New Roman"/>
          <w:sz w:val="24"/>
          <w:szCs w:val="24"/>
        </w:rPr>
        <w:t>proyeksi</w:t>
      </w:r>
      <w:proofErr w:type="spellEnd"/>
      <w:r w:rsidR="00CB380D" w:rsidRPr="00B14ED8">
        <w:rPr>
          <w:rFonts w:ascii="Times New Roman" w:eastAsia="Times New Roman" w:hAnsi="Times New Roman" w:cs="Times New Roman"/>
          <w:sz w:val="24"/>
          <w:szCs w:val="24"/>
        </w:rPr>
        <w:t xml:space="preserve"> </w:t>
      </w:r>
      <w:proofErr w:type="spellStart"/>
      <w:r w:rsidR="005D1FD8" w:rsidRPr="00B14ED8">
        <w:rPr>
          <w:rFonts w:ascii="Times New Roman" w:eastAsia="Times New Roman" w:hAnsi="Times New Roman" w:cs="Times New Roman"/>
          <w:sz w:val="24"/>
          <w:szCs w:val="24"/>
        </w:rPr>
        <w:t>tingkat</w:t>
      </w:r>
      <w:proofErr w:type="spellEnd"/>
      <w:r w:rsidR="005D1FD8" w:rsidRPr="00B14ED8">
        <w:rPr>
          <w:rFonts w:ascii="Times New Roman" w:eastAsia="Times New Roman" w:hAnsi="Times New Roman" w:cs="Times New Roman"/>
          <w:sz w:val="24"/>
          <w:szCs w:val="24"/>
        </w:rPr>
        <w:t xml:space="preserve"> </w:t>
      </w:r>
      <w:proofErr w:type="spellStart"/>
      <w:r w:rsidR="005D1FD8" w:rsidRPr="00B14ED8">
        <w:rPr>
          <w:rFonts w:ascii="Times New Roman" w:eastAsia="Times New Roman" w:hAnsi="Times New Roman" w:cs="Times New Roman"/>
          <w:sz w:val="24"/>
          <w:szCs w:val="24"/>
        </w:rPr>
        <w:t>pertumbuhan</w:t>
      </w:r>
      <w:proofErr w:type="spellEnd"/>
      <w:r w:rsidR="005D1FD8" w:rsidRPr="00B14ED8">
        <w:rPr>
          <w:rFonts w:ascii="Times New Roman" w:eastAsia="Times New Roman" w:hAnsi="Times New Roman" w:cs="Times New Roman"/>
          <w:sz w:val="24"/>
          <w:szCs w:val="24"/>
        </w:rPr>
        <w:t xml:space="preserve"> per </w:t>
      </w:r>
      <w:proofErr w:type="spellStart"/>
      <w:r w:rsidR="005D1FD8" w:rsidRPr="00B14ED8">
        <w:rPr>
          <w:rFonts w:ascii="Times New Roman" w:eastAsia="Times New Roman" w:hAnsi="Times New Roman" w:cs="Times New Roman"/>
          <w:sz w:val="24"/>
          <w:szCs w:val="24"/>
        </w:rPr>
        <w:t>tahun</w:t>
      </w:r>
      <w:proofErr w:type="spellEnd"/>
      <w:r w:rsidR="007A3AD5" w:rsidRPr="00B14ED8">
        <w:rPr>
          <w:rFonts w:ascii="Times New Roman" w:eastAsia="Times New Roman" w:hAnsi="Times New Roman" w:cs="Times New Roman"/>
          <w:sz w:val="24"/>
          <w:szCs w:val="24"/>
        </w:rPr>
        <w:t xml:space="preserve"> </w:t>
      </w:r>
      <w:proofErr w:type="spellStart"/>
      <w:r w:rsidR="007A3AD5" w:rsidRPr="00B14ED8">
        <w:rPr>
          <w:rFonts w:ascii="Times New Roman" w:eastAsia="Times New Roman" w:hAnsi="Times New Roman" w:cs="Times New Roman"/>
          <w:sz w:val="24"/>
          <w:szCs w:val="24"/>
        </w:rPr>
        <w:t>sebesar</w:t>
      </w:r>
      <w:proofErr w:type="spellEnd"/>
      <w:r w:rsidR="00F316B0" w:rsidRPr="00B14ED8">
        <w:rPr>
          <w:rFonts w:ascii="Times New Roman" w:eastAsia="Times New Roman" w:hAnsi="Times New Roman" w:cs="Times New Roman"/>
          <w:sz w:val="24"/>
          <w:szCs w:val="24"/>
        </w:rPr>
        <w:t xml:space="preserve"> 6%</w:t>
      </w:r>
      <w:r w:rsidR="0071713D" w:rsidRPr="00B14ED8">
        <w:rPr>
          <w:rFonts w:ascii="Times New Roman" w:eastAsia="Times New Roman" w:hAnsi="Times New Roman" w:cs="Times New Roman"/>
          <w:sz w:val="24"/>
          <w:szCs w:val="24"/>
        </w:rPr>
        <w:t xml:space="preserve"> </w:t>
      </w:r>
      <w:proofErr w:type="spellStart"/>
      <w:r w:rsidR="007A3AD5" w:rsidRPr="00B14ED8">
        <w:rPr>
          <w:rFonts w:ascii="Times New Roman" w:eastAsia="Times New Roman" w:hAnsi="Times New Roman" w:cs="Times New Roman"/>
          <w:sz w:val="24"/>
          <w:szCs w:val="24"/>
        </w:rPr>
        <w:t>hingga</w:t>
      </w:r>
      <w:proofErr w:type="spellEnd"/>
      <w:r w:rsidR="007A3AD5" w:rsidRPr="00B14ED8">
        <w:rPr>
          <w:rFonts w:ascii="Times New Roman" w:eastAsia="Times New Roman" w:hAnsi="Times New Roman" w:cs="Times New Roman"/>
          <w:sz w:val="24"/>
          <w:szCs w:val="24"/>
        </w:rPr>
        <w:t xml:space="preserve"> </w:t>
      </w:r>
      <w:proofErr w:type="spellStart"/>
      <w:r w:rsidR="00F316B0" w:rsidRPr="00B14ED8">
        <w:rPr>
          <w:rFonts w:ascii="Times New Roman" w:eastAsia="Times New Roman" w:hAnsi="Times New Roman" w:cs="Times New Roman"/>
          <w:sz w:val="24"/>
          <w:szCs w:val="24"/>
        </w:rPr>
        <w:t>tahun</w:t>
      </w:r>
      <w:proofErr w:type="spellEnd"/>
      <w:r w:rsidR="00F316B0" w:rsidRPr="00B14ED8">
        <w:rPr>
          <w:rFonts w:ascii="Times New Roman" w:eastAsia="Times New Roman" w:hAnsi="Times New Roman" w:cs="Times New Roman"/>
          <w:sz w:val="24"/>
          <w:szCs w:val="24"/>
        </w:rPr>
        <w:t xml:space="preserve"> 2023</w:t>
      </w:r>
      <w:r w:rsidR="007042E0" w:rsidRPr="00B14ED8">
        <w:rPr>
          <w:rFonts w:ascii="Times New Roman" w:eastAsia="Times New Roman" w:hAnsi="Times New Roman" w:cs="Times New Roman"/>
          <w:sz w:val="24"/>
          <w:szCs w:val="24"/>
        </w:rPr>
        <w:fldChar w:fldCharType="begin" w:fldLock="1"/>
      </w:r>
      <w:r w:rsidR="00BD6B9D" w:rsidRPr="00B14ED8">
        <w:rPr>
          <w:rFonts w:ascii="Times New Roman" w:eastAsia="Times New Roman" w:hAnsi="Times New Roman" w:cs="Times New Roman"/>
          <w:sz w:val="24"/>
          <w:szCs w:val="24"/>
        </w:rPr>
        <w:instrText>ADDIN CSL_CITATION {"citationItems":[{"id":"ITEM-1","itemData":{"DOI":"10.1108/ies-05-2020-0016","ISSN":"1319-1616","abstract":"Purpose The purpose of this paper is to investigate the link between the financial performance of Islamic finance and economic growth in all of Malaysia, Indonesia, Brunei, Turkey and Saudi Arabia within the endogenous growth model framework. Design/methodology/approach This study applied dynamic panel system GMM to estimate the impact of the financial performance of Islamic finance on economic growth using quarterly data (2014:1-2018:4). CAMELS system parameters were employed as variables of the financial performance of Islamic finance and gross domestic product (GDP) as a proxy of economic growth. The sample contained all Islamic banks working in the five countries. Findings The findings demonstrated that the only significant factor of the financial performance of Islamic finance, which affects the endogenous economic growth, is profitability through return on equity (ROE). The experimental findings also indicated the necessity of stimulating other financial performance factors of Islamic finance to achieve a significant contribution to economic growth. Practical implications The analysis in this paper would fill the literature gap by investigating the link between financial performance of Islamic finance and economic growth, as this study serves as a guide for the academians, researchers and decision-makers who want to achieve economic growth through stimulating Islamic finance in the banking sector. However, this study may well be extended to investigate the link between the financial performance of Islamic finance and economic growth over the Z-score model as another measure for the financial performance of Islamic finance. Originality/value This paper is the first that investigates the link between financial performance of Islamic finance and economic growth empirically using CAMELS parameters within the endogenous growth model to provide robust information about this link based on a sample of the top pioneer Islamic finance countries.","author":[{"dropping-particle":"","family":"Ledhem","given":"Mohammed Ayoub","non-dropping-particle":"","parse-names":false,"suffix":""},{"dropping-particle":"","family":"Mekidiche","given":"Mohammed","non-dropping-particle":"","parse-names":false,"suffix":""}],"container-title":"Islamic Economic Studies","id":"ITEM-1","issue":"1","issued":{"date-parts":[["2020"]]},"page":"47-62","title":"Economic growth and financial performance of Islamic banks: a CAMELS approach","type":"article-journal","volume":"28"},"uris":["http://www.mendeley.com/documents/?uuid=4bee2c70-4804-4fe4-9cab-c38e6aedbceb"]}],"mendeley":{"formattedCitation":"(Ledhem &amp; Mekidiche, 2020)","plainTextFormattedCitation":"(Ledhem &amp; Mekidiche, 2020)","previouslyFormattedCitation":"(Ledhem &amp; Mekidiche, 2020)"},"properties":{"noteIndex":0},"schema":"https://github.com/citation-style-language/schema/raw/master/csl-citation.json"}</w:instrText>
      </w:r>
      <w:r w:rsidR="007042E0" w:rsidRPr="00B14ED8">
        <w:rPr>
          <w:rFonts w:ascii="Times New Roman" w:eastAsia="Times New Roman" w:hAnsi="Times New Roman" w:cs="Times New Roman"/>
          <w:sz w:val="24"/>
          <w:szCs w:val="24"/>
        </w:rPr>
        <w:fldChar w:fldCharType="separate"/>
      </w:r>
      <w:r w:rsidR="007042E0" w:rsidRPr="00B14ED8">
        <w:rPr>
          <w:rFonts w:ascii="Times New Roman" w:eastAsia="Times New Roman" w:hAnsi="Times New Roman" w:cs="Times New Roman"/>
          <w:noProof/>
          <w:sz w:val="24"/>
          <w:szCs w:val="24"/>
        </w:rPr>
        <w:t>(</w:t>
      </w:r>
      <w:proofErr w:type="spellStart"/>
      <w:r w:rsidR="007042E0" w:rsidRPr="00B14ED8">
        <w:rPr>
          <w:rFonts w:ascii="Times New Roman" w:eastAsia="Times New Roman" w:hAnsi="Times New Roman" w:cs="Times New Roman"/>
          <w:noProof/>
          <w:sz w:val="24"/>
          <w:szCs w:val="24"/>
        </w:rPr>
        <w:t>Ledhem</w:t>
      </w:r>
      <w:proofErr w:type="spellEnd"/>
      <w:r w:rsidR="007042E0" w:rsidRPr="00B14ED8">
        <w:rPr>
          <w:rFonts w:ascii="Times New Roman" w:eastAsia="Times New Roman" w:hAnsi="Times New Roman" w:cs="Times New Roman"/>
          <w:noProof/>
          <w:sz w:val="24"/>
          <w:szCs w:val="24"/>
        </w:rPr>
        <w:t xml:space="preserve"> &amp; Mekidiche, 2020)</w:t>
      </w:r>
      <w:r w:rsidR="007042E0" w:rsidRPr="00B14ED8">
        <w:rPr>
          <w:rFonts w:ascii="Times New Roman" w:eastAsia="Times New Roman" w:hAnsi="Times New Roman" w:cs="Times New Roman"/>
          <w:sz w:val="24"/>
          <w:szCs w:val="24"/>
        </w:rPr>
        <w:fldChar w:fldCharType="end"/>
      </w:r>
      <w:r w:rsidR="00F316B0" w:rsidRPr="00B14ED8">
        <w:rPr>
          <w:rFonts w:ascii="Times New Roman" w:eastAsia="Times New Roman" w:hAnsi="Times New Roman" w:cs="Times New Roman"/>
          <w:sz w:val="24"/>
          <w:szCs w:val="24"/>
        </w:rPr>
        <w:t>.</w:t>
      </w:r>
      <w:r w:rsidR="009C7C07" w:rsidRPr="00B14ED8">
        <w:rPr>
          <w:rFonts w:ascii="Times New Roman" w:eastAsia="Times New Roman" w:hAnsi="Times New Roman" w:cs="Times New Roman"/>
          <w:sz w:val="24"/>
          <w:szCs w:val="24"/>
        </w:rPr>
        <w:t xml:space="preserve"> Nilai </w:t>
      </w:r>
      <w:proofErr w:type="spellStart"/>
      <w:r w:rsidR="009C7C07" w:rsidRPr="00B14ED8">
        <w:rPr>
          <w:rFonts w:ascii="Times New Roman" w:eastAsia="Times New Roman" w:hAnsi="Times New Roman" w:cs="Times New Roman"/>
          <w:sz w:val="24"/>
          <w:szCs w:val="24"/>
        </w:rPr>
        <w:t>p</w:t>
      </w:r>
      <w:r w:rsidR="00D860A5" w:rsidRPr="00B14ED8">
        <w:rPr>
          <w:rFonts w:ascii="Times New Roman" w:eastAsia="Times New Roman" w:hAnsi="Times New Roman" w:cs="Times New Roman"/>
          <w:sz w:val="24"/>
          <w:szCs w:val="24"/>
        </w:rPr>
        <w:t>e</w:t>
      </w:r>
      <w:r w:rsidR="0071713D" w:rsidRPr="00B14ED8">
        <w:rPr>
          <w:rFonts w:ascii="Times New Roman" w:eastAsia="Times New Roman" w:hAnsi="Times New Roman" w:cs="Times New Roman"/>
          <w:sz w:val="24"/>
          <w:szCs w:val="24"/>
        </w:rPr>
        <w:t>rtumbuhan</w:t>
      </w:r>
      <w:proofErr w:type="spellEnd"/>
      <w:r w:rsidR="00D860A5" w:rsidRPr="00B14ED8">
        <w:rPr>
          <w:rFonts w:ascii="Times New Roman" w:eastAsia="Times New Roman" w:hAnsi="Times New Roman" w:cs="Times New Roman"/>
          <w:sz w:val="24"/>
          <w:szCs w:val="24"/>
        </w:rPr>
        <w:t xml:space="preserve"> </w:t>
      </w:r>
      <w:r w:rsidR="009C7C07" w:rsidRPr="00B14ED8">
        <w:rPr>
          <w:rFonts w:ascii="Times New Roman" w:eastAsia="Times New Roman" w:hAnsi="Times New Roman" w:cs="Times New Roman"/>
          <w:sz w:val="24"/>
          <w:szCs w:val="24"/>
        </w:rPr>
        <w:t xml:space="preserve">yang </w:t>
      </w:r>
      <w:proofErr w:type="spellStart"/>
      <w:r w:rsidR="009C7C07" w:rsidRPr="00B14ED8">
        <w:rPr>
          <w:rFonts w:ascii="Times New Roman" w:eastAsia="Times New Roman" w:hAnsi="Times New Roman" w:cs="Times New Roman"/>
          <w:sz w:val="24"/>
          <w:szCs w:val="24"/>
        </w:rPr>
        <w:t>signifikan</w:t>
      </w:r>
      <w:proofErr w:type="spellEnd"/>
      <w:r w:rsidR="009C7C07" w:rsidRPr="00B14ED8">
        <w:rPr>
          <w:rFonts w:ascii="Times New Roman" w:eastAsia="Times New Roman" w:hAnsi="Times New Roman" w:cs="Times New Roman"/>
          <w:sz w:val="24"/>
          <w:szCs w:val="24"/>
        </w:rPr>
        <w:t xml:space="preserve"> </w:t>
      </w:r>
      <w:proofErr w:type="spellStart"/>
      <w:r w:rsidR="009C7C07" w:rsidRPr="00B14ED8">
        <w:rPr>
          <w:rFonts w:ascii="Times New Roman" w:eastAsia="Times New Roman" w:hAnsi="Times New Roman" w:cs="Times New Roman"/>
          <w:sz w:val="24"/>
          <w:szCs w:val="24"/>
        </w:rPr>
        <w:t>ini</w:t>
      </w:r>
      <w:proofErr w:type="spellEnd"/>
      <w:r w:rsidR="009C7C07" w:rsidRPr="00B14ED8">
        <w:rPr>
          <w:rFonts w:ascii="Times New Roman" w:eastAsia="Times New Roman" w:hAnsi="Times New Roman" w:cs="Times New Roman"/>
          <w:sz w:val="24"/>
          <w:szCs w:val="24"/>
        </w:rPr>
        <w:t xml:space="preserve"> </w:t>
      </w:r>
      <w:proofErr w:type="spellStart"/>
      <w:r w:rsidR="009C7C07" w:rsidRPr="00B14ED8">
        <w:rPr>
          <w:rFonts w:ascii="Times New Roman" w:eastAsia="Times New Roman" w:hAnsi="Times New Roman" w:cs="Times New Roman"/>
          <w:sz w:val="24"/>
          <w:szCs w:val="24"/>
        </w:rPr>
        <w:t>tentu</w:t>
      </w:r>
      <w:proofErr w:type="spellEnd"/>
      <w:r w:rsidR="006021F3" w:rsidRPr="00B14ED8">
        <w:rPr>
          <w:rFonts w:ascii="Times New Roman" w:eastAsia="Times New Roman" w:hAnsi="Times New Roman" w:cs="Times New Roman"/>
          <w:sz w:val="24"/>
          <w:szCs w:val="24"/>
        </w:rPr>
        <w:t xml:space="preserve"> </w:t>
      </w:r>
      <w:proofErr w:type="spellStart"/>
      <w:r w:rsidR="006021F3" w:rsidRPr="00B14ED8">
        <w:rPr>
          <w:rFonts w:ascii="Times New Roman" w:eastAsia="Times New Roman" w:hAnsi="Times New Roman" w:cs="Times New Roman"/>
          <w:sz w:val="24"/>
          <w:szCs w:val="24"/>
        </w:rPr>
        <w:t>harus</w:t>
      </w:r>
      <w:proofErr w:type="spellEnd"/>
      <w:r w:rsidR="009C7C07" w:rsidRPr="00B14ED8">
        <w:rPr>
          <w:rFonts w:ascii="Times New Roman" w:eastAsia="Times New Roman" w:hAnsi="Times New Roman" w:cs="Times New Roman"/>
          <w:sz w:val="24"/>
          <w:szCs w:val="24"/>
        </w:rPr>
        <w:t xml:space="preserve"> </w:t>
      </w:r>
      <w:proofErr w:type="spellStart"/>
      <w:r w:rsidR="009C7C07" w:rsidRPr="00B14ED8">
        <w:rPr>
          <w:rFonts w:ascii="Times New Roman" w:eastAsia="Times New Roman" w:hAnsi="Times New Roman" w:cs="Times New Roman"/>
          <w:sz w:val="24"/>
          <w:szCs w:val="24"/>
        </w:rPr>
        <w:t>didukung</w:t>
      </w:r>
      <w:proofErr w:type="spellEnd"/>
      <w:r w:rsidR="009C7C07" w:rsidRPr="00B14ED8">
        <w:rPr>
          <w:rFonts w:ascii="Times New Roman" w:eastAsia="Times New Roman" w:hAnsi="Times New Roman" w:cs="Times New Roman"/>
          <w:sz w:val="24"/>
          <w:szCs w:val="24"/>
        </w:rPr>
        <w:t xml:space="preserve"> </w:t>
      </w:r>
      <w:proofErr w:type="spellStart"/>
      <w:r w:rsidR="009C7C07" w:rsidRPr="00B14ED8">
        <w:rPr>
          <w:rFonts w:ascii="Times New Roman" w:eastAsia="Times New Roman" w:hAnsi="Times New Roman" w:cs="Times New Roman"/>
          <w:sz w:val="24"/>
          <w:szCs w:val="24"/>
        </w:rPr>
        <w:t>dengan</w:t>
      </w:r>
      <w:proofErr w:type="spellEnd"/>
      <w:r w:rsidR="009C7C07" w:rsidRPr="00B14ED8">
        <w:rPr>
          <w:rFonts w:ascii="Times New Roman" w:eastAsia="Times New Roman" w:hAnsi="Times New Roman" w:cs="Times New Roman"/>
          <w:sz w:val="24"/>
          <w:szCs w:val="24"/>
        </w:rPr>
        <w:t xml:space="preserve"> </w:t>
      </w:r>
      <w:proofErr w:type="spellStart"/>
      <w:r w:rsidR="009C7C07" w:rsidRPr="00B14ED8">
        <w:rPr>
          <w:rFonts w:ascii="Times New Roman" w:eastAsia="Times New Roman" w:hAnsi="Times New Roman" w:cs="Times New Roman"/>
          <w:sz w:val="24"/>
          <w:szCs w:val="24"/>
        </w:rPr>
        <w:t>adanya</w:t>
      </w:r>
      <w:proofErr w:type="spellEnd"/>
      <w:r w:rsidR="009C7C07" w:rsidRPr="00B14ED8">
        <w:rPr>
          <w:rFonts w:ascii="Times New Roman" w:eastAsia="Times New Roman" w:hAnsi="Times New Roman" w:cs="Times New Roman"/>
          <w:sz w:val="24"/>
          <w:szCs w:val="24"/>
        </w:rPr>
        <w:t xml:space="preserve"> </w:t>
      </w:r>
      <w:proofErr w:type="spellStart"/>
      <w:r w:rsidR="00D819DC" w:rsidRPr="00B14ED8">
        <w:rPr>
          <w:rFonts w:ascii="Times New Roman" w:eastAsia="Times New Roman" w:hAnsi="Times New Roman" w:cs="Times New Roman"/>
          <w:sz w:val="24"/>
          <w:szCs w:val="24"/>
        </w:rPr>
        <w:t>kinerja</w:t>
      </w:r>
      <w:proofErr w:type="spellEnd"/>
      <w:r w:rsidR="009C7C07" w:rsidRPr="00B14ED8">
        <w:rPr>
          <w:rFonts w:ascii="Times New Roman" w:eastAsia="Times New Roman" w:hAnsi="Times New Roman" w:cs="Times New Roman"/>
          <w:sz w:val="24"/>
          <w:szCs w:val="24"/>
        </w:rPr>
        <w:t xml:space="preserve"> </w:t>
      </w:r>
      <w:proofErr w:type="spellStart"/>
      <w:r w:rsidR="009C7C07" w:rsidRPr="00B14ED8">
        <w:rPr>
          <w:rFonts w:ascii="Times New Roman" w:eastAsia="Times New Roman" w:hAnsi="Times New Roman" w:cs="Times New Roman"/>
          <w:sz w:val="24"/>
          <w:szCs w:val="24"/>
        </w:rPr>
        <w:t>keuangan</w:t>
      </w:r>
      <w:proofErr w:type="spellEnd"/>
      <w:r w:rsidR="009C7C07" w:rsidRPr="00B14ED8">
        <w:rPr>
          <w:rFonts w:ascii="Times New Roman" w:eastAsia="Times New Roman" w:hAnsi="Times New Roman" w:cs="Times New Roman"/>
          <w:sz w:val="24"/>
          <w:szCs w:val="24"/>
        </w:rPr>
        <w:t xml:space="preserve"> </w:t>
      </w:r>
      <w:proofErr w:type="spellStart"/>
      <w:r w:rsidR="009C7C07" w:rsidRPr="00B14ED8">
        <w:rPr>
          <w:rFonts w:ascii="Times New Roman" w:eastAsia="Times New Roman" w:hAnsi="Times New Roman" w:cs="Times New Roman"/>
          <w:sz w:val="24"/>
          <w:szCs w:val="24"/>
        </w:rPr>
        <w:t>perbankan</w:t>
      </w:r>
      <w:proofErr w:type="spellEnd"/>
      <w:r w:rsidR="009C7C07" w:rsidRPr="00B14ED8">
        <w:rPr>
          <w:rFonts w:ascii="Times New Roman" w:eastAsia="Times New Roman" w:hAnsi="Times New Roman" w:cs="Times New Roman"/>
          <w:sz w:val="24"/>
          <w:szCs w:val="24"/>
        </w:rPr>
        <w:t xml:space="preserve"> </w:t>
      </w:r>
      <w:proofErr w:type="spellStart"/>
      <w:r w:rsidR="009C7C07" w:rsidRPr="00B14ED8">
        <w:rPr>
          <w:rFonts w:ascii="Times New Roman" w:eastAsia="Times New Roman" w:hAnsi="Times New Roman" w:cs="Times New Roman"/>
          <w:sz w:val="24"/>
          <w:szCs w:val="24"/>
        </w:rPr>
        <w:t>produktif</w:t>
      </w:r>
      <w:proofErr w:type="spellEnd"/>
      <w:r w:rsidR="009C7C07" w:rsidRPr="00B14ED8">
        <w:rPr>
          <w:rFonts w:ascii="Times New Roman" w:eastAsia="Times New Roman" w:hAnsi="Times New Roman" w:cs="Times New Roman"/>
          <w:sz w:val="24"/>
          <w:szCs w:val="24"/>
        </w:rPr>
        <w:t xml:space="preserve"> </w:t>
      </w:r>
      <w:proofErr w:type="spellStart"/>
      <w:r w:rsidR="00D070DB" w:rsidRPr="00B14ED8">
        <w:rPr>
          <w:rFonts w:ascii="Times New Roman" w:eastAsia="Times New Roman" w:hAnsi="Times New Roman" w:cs="Times New Roman"/>
          <w:sz w:val="24"/>
          <w:szCs w:val="24"/>
        </w:rPr>
        <w:t>sebagai</w:t>
      </w:r>
      <w:proofErr w:type="spellEnd"/>
      <w:r w:rsidR="00D070DB" w:rsidRPr="00B14ED8">
        <w:rPr>
          <w:rFonts w:ascii="Times New Roman" w:eastAsia="Times New Roman" w:hAnsi="Times New Roman" w:cs="Times New Roman"/>
          <w:sz w:val="24"/>
          <w:szCs w:val="24"/>
        </w:rPr>
        <w:t xml:space="preserve"> </w:t>
      </w:r>
      <w:proofErr w:type="spellStart"/>
      <w:r w:rsidR="00D070DB" w:rsidRPr="00B14ED8">
        <w:rPr>
          <w:rFonts w:ascii="Times New Roman" w:eastAsia="Times New Roman" w:hAnsi="Times New Roman" w:cs="Times New Roman"/>
          <w:sz w:val="24"/>
          <w:szCs w:val="24"/>
        </w:rPr>
        <w:t>hasil</w:t>
      </w:r>
      <w:proofErr w:type="spellEnd"/>
      <w:r w:rsidR="00D070DB" w:rsidRPr="00B14ED8">
        <w:rPr>
          <w:rFonts w:ascii="Times New Roman" w:eastAsia="Times New Roman" w:hAnsi="Times New Roman" w:cs="Times New Roman"/>
          <w:sz w:val="24"/>
          <w:szCs w:val="24"/>
        </w:rPr>
        <w:t xml:space="preserve"> </w:t>
      </w:r>
      <w:proofErr w:type="spellStart"/>
      <w:r w:rsidR="00D070DB" w:rsidRPr="00B14ED8">
        <w:rPr>
          <w:rFonts w:ascii="Times New Roman" w:eastAsia="Times New Roman" w:hAnsi="Times New Roman" w:cs="Times New Roman"/>
          <w:sz w:val="24"/>
          <w:szCs w:val="24"/>
        </w:rPr>
        <w:t>atas</w:t>
      </w:r>
      <w:proofErr w:type="spellEnd"/>
      <w:r w:rsidR="00D070DB" w:rsidRPr="00B14ED8">
        <w:rPr>
          <w:rFonts w:ascii="Times New Roman" w:eastAsia="Times New Roman" w:hAnsi="Times New Roman" w:cs="Times New Roman"/>
          <w:sz w:val="24"/>
          <w:szCs w:val="24"/>
        </w:rPr>
        <w:t xml:space="preserve"> </w:t>
      </w:r>
      <w:proofErr w:type="spellStart"/>
      <w:r w:rsidR="00D070DB" w:rsidRPr="00B14ED8">
        <w:rPr>
          <w:rFonts w:ascii="Times New Roman" w:eastAsia="Times New Roman" w:hAnsi="Times New Roman" w:cs="Times New Roman"/>
          <w:sz w:val="24"/>
          <w:szCs w:val="24"/>
        </w:rPr>
        <w:t>investasi</w:t>
      </w:r>
      <w:proofErr w:type="spellEnd"/>
      <w:r w:rsidR="00D070DB" w:rsidRPr="00B14ED8">
        <w:rPr>
          <w:rFonts w:ascii="Times New Roman" w:eastAsia="Times New Roman" w:hAnsi="Times New Roman" w:cs="Times New Roman"/>
          <w:sz w:val="24"/>
          <w:szCs w:val="24"/>
        </w:rPr>
        <w:t xml:space="preserve"> </w:t>
      </w:r>
      <w:proofErr w:type="spellStart"/>
      <w:r w:rsidR="00D070DB" w:rsidRPr="00B14ED8">
        <w:rPr>
          <w:rFonts w:ascii="Times New Roman" w:eastAsia="Times New Roman" w:hAnsi="Times New Roman" w:cs="Times New Roman"/>
          <w:sz w:val="24"/>
          <w:szCs w:val="24"/>
        </w:rPr>
        <w:t>pendanaan</w:t>
      </w:r>
      <w:proofErr w:type="spellEnd"/>
      <w:r w:rsidR="003E372E" w:rsidRPr="00B14ED8">
        <w:rPr>
          <w:rFonts w:ascii="Times New Roman" w:eastAsia="Times New Roman" w:hAnsi="Times New Roman" w:cs="Times New Roman"/>
          <w:sz w:val="24"/>
          <w:szCs w:val="24"/>
        </w:rPr>
        <w:t xml:space="preserve"> </w:t>
      </w:r>
      <w:proofErr w:type="spellStart"/>
      <w:r w:rsidR="003E372E" w:rsidRPr="00B14ED8">
        <w:rPr>
          <w:rFonts w:ascii="Times New Roman" w:eastAsia="Times New Roman" w:hAnsi="Times New Roman" w:cs="Times New Roman"/>
          <w:sz w:val="24"/>
          <w:szCs w:val="24"/>
        </w:rPr>
        <w:t>syariah</w:t>
      </w:r>
      <w:proofErr w:type="spellEnd"/>
      <w:r w:rsidR="003E372E" w:rsidRPr="00B14ED8">
        <w:rPr>
          <w:rFonts w:ascii="Times New Roman" w:eastAsia="Times New Roman" w:hAnsi="Times New Roman" w:cs="Times New Roman"/>
          <w:sz w:val="24"/>
          <w:szCs w:val="24"/>
        </w:rPr>
        <w:t xml:space="preserve"> yang </w:t>
      </w:r>
      <w:proofErr w:type="spellStart"/>
      <w:r w:rsidR="003E372E" w:rsidRPr="00B14ED8">
        <w:rPr>
          <w:rFonts w:ascii="Times New Roman" w:eastAsia="Times New Roman" w:hAnsi="Times New Roman" w:cs="Times New Roman"/>
          <w:sz w:val="24"/>
          <w:szCs w:val="24"/>
        </w:rPr>
        <w:t>dilakukan</w:t>
      </w:r>
      <w:proofErr w:type="spellEnd"/>
      <w:r w:rsidR="006F1645" w:rsidRPr="00B14ED8">
        <w:rPr>
          <w:rFonts w:ascii="Times New Roman" w:eastAsia="Times New Roman" w:hAnsi="Times New Roman" w:cs="Times New Roman"/>
          <w:sz w:val="24"/>
          <w:szCs w:val="24"/>
        </w:rPr>
        <w:fldChar w:fldCharType="begin" w:fldLock="1"/>
      </w:r>
      <w:r w:rsidR="00F727D4" w:rsidRPr="00B14ED8">
        <w:rPr>
          <w:rFonts w:ascii="Times New Roman" w:eastAsia="Times New Roman" w:hAnsi="Times New Roman" w:cs="Times New Roman"/>
          <w:sz w:val="24"/>
          <w:szCs w:val="24"/>
        </w:rPr>
        <w:instrText>ADDIN CSL_CITATION {"citationItems":[{"id":"ITEM-1","itemData":{"DOI":"10.21315/aamjaf2022.18.1.1","ISSN":"21804192","abstract":"This study aims to explore the interrelationship between risk-based capital, risk-taking, and profitability. This study employs two-stage least square (2SLS) methods on the annual data of 217 Islamic banks from 35 countries ranging from 2010 to 2019. We find that the relationship between risk-based capital and risk-taking behaviour is negative, and the results are heterogeneous across different regions concerning both signs and significance. Consistent with the theory of moral hazard, we find the negative relationship between risk-based capital and Islamic banks’ risk-taking behaviour, implying that managers in Islamic banks could increase their investment in risky assets and keep only smaller amounts of capital. The concept of profit and loss sharing motivates them to take a higher risk and aim to get a higher yield. This relationship is also in line with the agency theory, inferring that bank managers could take excessive risk to get higher compensation to align with higher profitability. The results also reveal a positive relationship between risk-taking and profitability, which is in line with the portfolio theory in finance. The findings in our paper would be useful for decision-makers and bank managers in understanding the interrelationship between risk, capital, and profitability and no factor alone could be good enough to ensure bank soundness. Furthermore, our findings imply that regulators and bank managers should not only focus on bank capital for increasing banks’ stability. They should also look into both profitability and capital ratios in addition to bank capital because all three factors could increase banks’ stability simultaneously.","author":[{"dropping-particle":"","family":"Abbas","given":"Faisal","non-dropping-particle":"","parse-names":false,"suffix":""},{"dropping-particle":"","family":"Ali","given":"Shoaib","non-dropping-particle":"","parse-names":false,"suffix":""},{"dropping-particle":"","family":"Yousaf","given":"Imran","non-dropping-particle":"","parse-names":false,"suffix":""},{"dropping-particle":"","family":"Wong","given":"Wing Keung","non-dropping-particle":"","parse-names":false,"suffix":""}],"container-title":"Asian Academy of Management Journal of Accounting and Finance","id":"ITEM-1","issue":"1","issued":{"date-parts":[["2022"]]},"page":"1-31","title":"Economics of Risk-Taking, Risk-Based Capital and Profitability: Empirical Evidence of Islamic Banks","type":"article-journal","volume":"18"},"uris":["http://www.mendeley.com/documents/?uuid=9322e46c-872b-40a7-933b-d1326ed40719"]}],"mendeley":{"formattedCitation":"(Abbas et al., 2022)","plainTextFormattedCitation":"(Abbas et al., 2022)","previouslyFormattedCitation":"(Abbas et al., 2022)"},"properties":{"noteIndex":0},"schema":"https://github.com/citation-style-language/schema/raw/master/csl-citation.json"}</w:instrText>
      </w:r>
      <w:r w:rsidR="006F1645" w:rsidRPr="00B14ED8">
        <w:rPr>
          <w:rFonts w:ascii="Times New Roman" w:eastAsia="Times New Roman" w:hAnsi="Times New Roman" w:cs="Times New Roman"/>
          <w:sz w:val="24"/>
          <w:szCs w:val="24"/>
        </w:rPr>
        <w:fldChar w:fldCharType="separate"/>
      </w:r>
      <w:r w:rsidR="00F727D4" w:rsidRPr="00B14ED8">
        <w:rPr>
          <w:rFonts w:ascii="Times New Roman" w:eastAsia="Times New Roman" w:hAnsi="Times New Roman" w:cs="Times New Roman"/>
          <w:noProof/>
          <w:sz w:val="24"/>
          <w:szCs w:val="24"/>
        </w:rPr>
        <w:t>(Abbas et al., 2022)</w:t>
      </w:r>
      <w:r w:rsidR="006F1645" w:rsidRPr="00B14ED8">
        <w:rPr>
          <w:rFonts w:ascii="Times New Roman" w:eastAsia="Times New Roman" w:hAnsi="Times New Roman" w:cs="Times New Roman"/>
          <w:sz w:val="24"/>
          <w:szCs w:val="24"/>
        </w:rPr>
        <w:fldChar w:fldCharType="end"/>
      </w:r>
      <w:r w:rsidR="00D819DC" w:rsidRPr="00B14ED8">
        <w:rPr>
          <w:rFonts w:ascii="Times New Roman" w:eastAsia="Times New Roman" w:hAnsi="Times New Roman" w:cs="Times New Roman"/>
          <w:sz w:val="24"/>
          <w:szCs w:val="24"/>
        </w:rPr>
        <w:t xml:space="preserve">. Di </w:t>
      </w:r>
      <w:proofErr w:type="spellStart"/>
      <w:r w:rsidR="00D819DC" w:rsidRPr="00B14ED8">
        <w:rPr>
          <w:rFonts w:ascii="Times New Roman" w:eastAsia="Times New Roman" w:hAnsi="Times New Roman" w:cs="Times New Roman"/>
          <w:sz w:val="24"/>
          <w:szCs w:val="24"/>
        </w:rPr>
        <w:t>dalam</w:t>
      </w:r>
      <w:proofErr w:type="spellEnd"/>
      <w:r w:rsidR="00D819DC" w:rsidRPr="00B14ED8">
        <w:rPr>
          <w:rFonts w:ascii="Times New Roman" w:eastAsia="Times New Roman" w:hAnsi="Times New Roman" w:cs="Times New Roman"/>
          <w:sz w:val="24"/>
          <w:szCs w:val="24"/>
        </w:rPr>
        <w:t xml:space="preserve"> </w:t>
      </w:r>
      <w:proofErr w:type="spellStart"/>
      <w:r w:rsidR="00D819DC" w:rsidRPr="00B14ED8">
        <w:rPr>
          <w:rFonts w:ascii="Times New Roman" w:eastAsia="Times New Roman" w:hAnsi="Times New Roman" w:cs="Times New Roman"/>
          <w:sz w:val="24"/>
          <w:szCs w:val="24"/>
        </w:rPr>
        <w:t>konteks</w:t>
      </w:r>
      <w:proofErr w:type="spellEnd"/>
      <w:r w:rsidR="00D819DC" w:rsidRPr="00B14ED8">
        <w:rPr>
          <w:rFonts w:ascii="Times New Roman" w:eastAsia="Times New Roman" w:hAnsi="Times New Roman" w:cs="Times New Roman"/>
          <w:sz w:val="24"/>
          <w:szCs w:val="24"/>
        </w:rPr>
        <w:t xml:space="preserve"> </w:t>
      </w:r>
      <w:proofErr w:type="spellStart"/>
      <w:r w:rsidR="00D819DC" w:rsidRPr="00B14ED8">
        <w:rPr>
          <w:rFonts w:ascii="Times New Roman" w:eastAsia="Times New Roman" w:hAnsi="Times New Roman" w:cs="Times New Roman"/>
          <w:sz w:val="24"/>
          <w:szCs w:val="24"/>
        </w:rPr>
        <w:t>perbankan</w:t>
      </w:r>
      <w:proofErr w:type="spellEnd"/>
      <w:r w:rsidR="00D819DC" w:rsidRPr="00B14ED8">
        <w:rPr>
          <w:rFonts w:ascii="Times New Roman" w:eastAsia="Times New Roman" w:hAnsi="Times New Roman" w:cs="Times New Roman"/>
          <w:sz w:val="24"/>
          <w:szCs w:val="24"/>
        </w:rPr>
        <w:t xml:space="preserve"> </w:t>
      </w:r>
      <w:proofErr w:type="spellStart"/>
      <w:r w:rsidR="00D819DC" w:rsidRPr="00B14ED8">
        <w:rPr>
          <w:rFonts w:ascii="Times New Roman" w:eastAsia="Times New Roman" w:hAnsi="Times New Roman" w:cs="Times New Roman"/>
          <w:sz w:val="24"/>
          <w:szCs w:val="24"/>
        </w:rPr>
        <w:t>syariah</w:t>
      </w:r>
      <w:proofErr w:type="spellEnd"/>
      <w:r w:rsidR="00D819DC" w:rsidRPr="00B14ED8">
        <w:rPr>
          <w:rFonts w:ascii="Times New Roman" w:eastAsia="Times New Roman" w:hAnsi="Times New Roman" w:cs="Times New Roman"/>
          <w:sz w:val="24"/>
          <w:szCs w:val="24"/>
        </w:rPr>
        <w:t xml:space="preserve">, </w:t>
      </w:r>
      <w:proofErr w:type="spellStart"/>
      <w:r w:rsidR="00D819DC" w:rsidRPr="00B14ED8">
        <w:rPr>
          <w:rFonts w:ascii="Times New Roman" w:eastAsia="Times New Roman" w:hAnsi="Times New Roman" w:cs="Times New Roman"/>
          <w:sz w:val="24"/>
          <w:szCs w:val="24"/>
        </w:rPr>
        <w:t>nilai</w:t>
      </w:r>
      <w:proofErr w:type="spellEnd"/>
      <w:r w:rsidR="00D819DC" w:rsidRPr="00B14ED8">
        <w:rPr>
          <w:rFonts w:ascii="Times New Roman" w:eastAsia="Times New Roman" w:hAnsi="Times New Roman" w:cs="Times New Roman"/>
          <w:sz w:val="24"/>
          <w:szCs w:val="24"/>
        </w:rPr>
        <w:t xml:space="preserve"> pro</w:t>
      </w:r>
      <w:r w:rsidR="00167F11" w:rsidRPr="00B14ED8">
        <w:rPr>
          <w:rFonts w:ascii="Times New Roman" w:eastAsia="Times New Roman" w:hAnsi="Times New Roman" w:cs="Times New Roman"/>
          <w:sz w:val="24"/>
          <w:szCs w:val="24"/>
        </w:rPr>
        <w:t xml:space="preserve">fit </w:t>
      </w:r>
      <w:proofErr w:type="spellStart"/>
      <w:r w:rsidR="00167F11" w:rsidRPr="00B14ED8">
        <w:rPr>
          <w:rFonts w:ascii="Times New Roman" w:eastAsia="Times New Roman" w:hAnsi="Times New Roman" w:cs="Times New Roman"/>
          <w:sz w:val="24"/>
          <w:szCs w:val="24"/>
        </w:rPr>
        <w:t>diperoleh</w:t>
      </w:r>
      <w:proofErr w:type="spellEnd"/>
      <w:r w:rsidR="00167F11" w:rsidRPr="00B14ED8">
        <w:rPr>
          <w:rFonts w:ascii="Times New Roman" w:eastAsia="Times New Roman" w:hAnsi="Times New Roman" w:cs="Times New Roman"/>
          <w:sz w:val="24"/>
          <w:szCs w:val="24"/>
        </w:rPr>
        <w:t xml:space="preserve"> </w:t>
      </w:r>
      <w:proofErr w:type="spellStart"/>
      <w:r w:rsidR="00167F11" w:rsidRPr="00B14ED8">
        <w:rPr>
          <w:rFonts w:ascii="Times New Roman" w:eastAsia="Times New Roman" w:hAnsi="Times New Roman" w:cs="Times New Roman"/>
          <w:sz w:val="24"/>
          <w:szCs w:val="24"/>
        </w:rPr>
        <w:t>melalui</w:t>
      </w:r>
      <w:proofErr w:type="spellEnd"/>
      <w:r w:rsidR="00167F11" w:rsidRPr="00B14ED8">
        <w:rPr>
          <w:rFonts w:ascii="Times New Roman" w:eastAsia="Times New Roman" w:hAnsi="Times New Roman" w:cs="Times New Roman"/>
          <w:sz w:val="24"/>
          <w:szCs w:val="24"/>
        </w:rPr>
        <w:t xml:space="preserve"> </w:t>
      </w:r>
      <w:proofErr w:type="spellStart"/>
      <w:r w:rsidR="00167F11" w:rsidRPr="00B14ED8">
        <w:rPr>
          <w:rFonts w:ascii="Times New Roman" w:eastAsia="Times New Roman" w:hAnsi="Times New Roman" w:cs="Times New Roman"/>
          <w:sz w:val="24"/>
          <w:szCs w:val="24"/>
        </w:rPr>
        <w:t>sistem</w:t>
      </w:r>
      <w:proofErr w:type="spellEnd"/>
      <w:r w:rsidR="00167F11" w:rsidRPr="00B14ED8">
        <w:rPr>
          <w:rFonts w:ascii="Times New Roman" w:eastAsia="Times New Roman" w:hAnsi="Times New Roman" w:cs="Times New Roman"/>
          <w:sz w:val="24"/>
          <w:szCs w:val="24"/>
        </w:rPr>
        <w:t xml:space="preserve"> </w:t>
      </w:r>
      <w:proofErr w:type="spellStart"/>
      <w:r w:rsidR="00167F11" w:rsidRPr="00B14ED8">
        <w:rPr>
          <w:rFonts w:ascii="Times New Roman" w:eastAsia="Times New Roman" w:hAnsi="Times New Roman" w:cs="Times New Roman"/>
          <w:sz w:val="24"/>
          <w:szCs w:val="24"/>
        </w:rPr>
        <w:t>perdagangan</w:t>
      </w:r>
      <w:proofErr w:type="spellEnd"/>
      <w:r w:rsidR="00167F11" w:rsidRPr="00B14ED8">
        <w:rPr>
          <w:rFonts w:ascii="Times New Roman" w:eastAsia="Times New Roman" w:hAnsi="Times New Roman" w:cs="Times New Roman"/>
          <w:sz w:val="24"/>
          <w:szCs w:val="24"/>
        </w:rPr>
        <w:t xml:space="preserve"> (</w:t>
      </w:r>
      <w:proofErr w:type="spellStart"/>
      <w:r w:rsidR="00167F11" w:rsidRPr="00B14ED8">
        <w:rPr>
          <w:rFonts w:ascii="Times New Roman" w:eastAsia="Times New Roman" w:hAnsi="Times New Roman" w:cs="Times New Roman"/>
          <w:i/>
          <w:iCs/>
          <w:sz w:val="24"/>
          <w:szCs w:val="24"/>
        </w:rPr>
        <w:t>murabahah</w:t>
      </w:r>
      <w:proofErr w:type="spellEnd"/>
      <w:r w:rsidR="000A2646" w:rsidRPr="00B14ED8">
        <w:rPr>
          <w:rFonts w:ascii="Times New Roman" w:eastAsia="Times New Roman" w:hAnsi="Times New Roman" w:cs="Times New Roman"/>
          <w:i/>
          <w:iCs/>
          <w:sz w:val="24"/>
          <w:szCs w:val="24"/>
        </w:rPr>
        <w:t xml:space="preserve">, ijarah </w:t>
      </w:r>
      <w:r w:rsidR="000A2646" w:rsidRPr="00B14ED8">
        <w:rPr>
          <w:rFonts w:ascii="Times New Roman" w:eastAsia="Times New Roman" w:hAnsi="Times New Roman" w:cs="Times New Roman"/>
          <w:sz w:val="24"/>
          <w:szCs w:val="24"/>
        </w:rPr>
        <w:t xml:space="preserve">dan </w:t>
      </w:r>
      <w:proofErr w:type="spellStart"/>
      <w:r w:rsidR="000A2646" w:rsidRPr="00B14ED8">
        <w:rPr>
          <w:rFonts w:ascii="Times New Roman" w:eastAsia="Times New Roman" w:hAnsi="Times New Roman" w:cs="Times New Roman"/>
          <w:i/>
          <w:iCs/>
          <w:sz w:val="24"/>
          <w:szCs w:val="24"/>
        </w:rPr>
        <w:t>istishna</w:t>
      </w:r>
      <w:proofErr w:type="spellEnd"/>
      <w:r w:rsidR="00167F11" w:rsidRPr="00B14ED8">
        <w:rPr>
          <w:rFonts w:ascii="Times New Roman" w:eastAsia="Times New Roman" w:hAnsi="Times New Roman" w:cs="Times New Roman"/>
          <w:sz w:val="24"/>
          <w:szCs w:val="24"/>
        </w:rPr>
        <w:t xml:space="preserve">) </w:t>
      </w:r>
      <w:proofErr w:type="spellStart"/>
      <w:r w:rsidR="00167F11" w:rsidRPr="00B14ED8">
        <w:rPr>
          <w:rFonts w:ascii="Times New Roman" w:eastAsia="Times New Roman" w:hAnsi="Times New Roman" w:cs="Times New Roman"/>
          <w:sz w:val="24"/>
          <w:szCs w:val="24"/>
        </w:rPr>
        <w:t>serta</w:t>
      </w:r>
      <w:proofErr w:type="spellEnd"/>
      <w:r w:rsidR="00167F11" w:rsidRPr="00B14ED8">
        <w:rPr>
          <w:rFonts w:ascii="Times New Roman" w:eastAsia="Times New Roman" w:hAnsi="Times New Roman" w:cs="Times New Roman"/>
          <w:sz w:val="24"/>
          <w:szCs w:val="24"/>
        </w:rPr>
        <w:t xml:space="preserve"> </w:t>
      </w:r>
      <w:proofErr w:type="spellStart"/>
      <w:r w:rsidR="000F3E88" w:rsidRPr="00B14ED8">
        <w:rPr>
          <w:rFonts w:ascii="Times New Roman" w:eastAsia="Times New Roman" w:hAnsi="Times New Roman" w:cs="Times New Roman"/>
          <w:sz w:val="24"/>
          <w:szCs w:val="24"/>
        </w:rPr>
        <w:t>bagi</w:t>
      </w:r>
      <w:proofErr w:type="spellEnd"/>
      <w:r w:rsidR="000F3E88" w:rsidRPr="00B14ED8">
        <w:rPr>
          <w:rFonts w:ascii="Times New Roman" w:eastAsia="Times New Roman" w:hAnsi="Times New Roman" w:cs="Times New Roman"/>
          <w:sz w:val="24"/>
          <w:szCs w:val="24"/>
        </w:rPr>
        <w:t xml:space="preserve"> </w:t>
      </w:r>
      <w:proofErr w:type="spellStart"/>
      <w:r w:rsidR="000F3E88" w:rsidRPr="00B14ED8">
        <w:rPr>
          <w:rFonts w:ascii="Times New Roman" w:eastAsia="Times New Roman" w:hAnsi="Times New Roman" w:cs="Times New Roman"/>
          <w:sz w:val="24"/>
          <w:szCs w:val="24"/>
        </w:rPr>
        <w:t>hasil</w:t>
      </w:r>
      <w:proofErr w:type="spellEnd"/>
      <w:r w:rsidR="000F3E88" w:rsidRPr="00B14ED8">
        <w:rPr>
          <w:rFonts w:ascii="Times New Roman" w:eastAsia="Times New Roman" w:hAnsi="Times New Roman" w:cs="Times New Roman"/>
          <w:sz w:val="24"/>
          <w:szCs w:val="24"/>
        </w:rPr>
        <w:t xml:space="preserve"> </w:t>
      </w:r>
      <w:proofErr w:type="spellStart"/>
      <w:r w:rsidR="000F3E88" w:rsidRPr="00B14ED8">
        <w:rPr>
          <w:rFonts w:ascii="Times New Roman" w:eastAsia="Times New Roman" w:hAnsi="Times New Roman" w:cs="Times New Roman"/>
          <w:sz w:val="24"/>
          <w:szCs w:val="24"/>
        </w:rPr>
        <w:t>atau</w:t>
      </w:r>
      <w:proofErr w:type="spellEnd"/>
      <w:r w:rsidR="000F3E88" w:rsidRPr="00B14ED8">
        <w:rPr>
          <w:rFonts w:ascii="Times New Roman" w:eastAsia="Times New Roman" w:hAnsi="Times New Roman" w:cs="Times New Roman"/>
          <w:sz w:val="24"/>
          <w:szCs w:val="24"/>
        </w:rPr>
        <w:t xml:space="preserve"> </w:t>
      </w:r>
      <w:proofErr w:type="spellStart"/>
      <w:r w:rsidR="000F3E88" w:rsidRPr="00B14ED8">
        <w:rPr>
          <w:rFonts w:ascii="Times New Roman" w:eastAsia="Times New Roman" w:hAnsi="Times New Roman" w:cs="Times New Roman"/>
          <w:sz w:val="24"/>
          <w:szCs w:val="24"/>
        </w:rPr>
        <w:t>lebih</w:t>
      </w:r>
      <w:proofErr w:type="spellEnd"/>
      <w:r w:rsidR="000F3E88" w:rsidRPr="00B14ED8">
        <w:rPr>
          <w:rFonts w:ascii="Times New Roman" w:eastAsia="Times New Roman" w:hAnsi="Times New Roman" w:cs="Times New Roman"/>
          <w:sz w:val="24"/>
          <w:szCs w:val="24"/>
        </w:rPr>
        <w:t xml:space="preserve"> </w:t>
      </w:r>
      <w:proofErr w:type="spellStart"/>
      <w:r w:rsidR="000F3E88" w:rsidRPr="00B14ED8">
        <w:rPr>
          <w:rFonts w:ascii="Times New Roman" w:eastAsia="Times New Roman" w:hAnsi="Times New Roman" w:cs="Times New Roman"/>
          <w:sz w:val="24"/>
          <w:szCs w:val="24"/>
        </w:rPr>
        <w:t>dikenal</w:t>
      </w:r>
      <w:proofErr w:type="spellEnd"/>
      <w:r w:rsidR="000F3E88" w:rsidRPr="00B14ED8">
        <w:rPr>
          <w:rFonts w:ascii="Times New Roman" w:eastAsia="Times New Roman" w:hAnsi="Times New Roman" w:cs="Times New Roman"/>
          <w:sz w:val="24"/>
          <w:szCs w:val="24"/>
        </w:rPr>
        <w:t xml:space="preserve"> </w:t>
      </w:r>
      <w:proofErr w:type="spellStart"/>
      <w:r w:rsidR="000F3E88" w:rsidRPr="00B14ED8">
        <w:rPr>
          <w:rFonts w:ascii="Times New Roman" w:eastAsia="Times New Roman" w:hAnsi="Times New Roman" w:cs="Times New Roman"/>
          <w:sz w:val="24"/>
          <w:szCs w:val="24"/>
        </w:rPr>
        <w:t>dengan</w:t>
      </w:r>
      <w:proofErr w:type="spellEnd"/>
      <w:r w:rsidR="000F3E88" w:rsidRPr="00B14ED8">
        <w:rPr>
          <w:rFonts w:ascii="Times New Roman" w:eastAsia="Times New Roman" w:hAnsi="Times New Roman" w:cs="Times New Roman"/>
          <w:sz w:val="24"/>
          <w:szCs w:val="24"/>
        </w:rPr>
        <w:t xml:space="preserve"> </w:t>
      </w:r>
      <w:proofErr w:type="spellStart"/>
      <w:r w:rsidR="000F3E88" w:rsidRPr="00B14ED8">
        <w:rPr>
          <w:rFonts w:ascii="Times New Roman" w:eastAsia="Times New Roman" w:hAnsi="Times New Roman" w:cs="Times New Roman"/>
          <w:sz w:val="24"/>
          <w:szCs w:val="24"/>
        </w:rPr>
        <w:t>nama</w:t>
      </w:r>
      <w:proofErr w:type="spellEnd"/>
      <w:r w:rsidR="000F3E88" w:rsidRPr="00B14ED8">
        <w:rPr>
          <w:rFonts w:ascii="Times New Roman" w:eastAsia="Times New Roman" w:hAnsi="Times New Roman" w:cs="Times New Roman"/>
          <w:sz w:val="24"/>
          <w:szCs w:val="24"/>
        </w:rPr>
        <w:t xml:space="preserve"> </w:t>
      </w:r>
      <w:r w:rsidR="000F3E88" w:rsidRPr="00B14ED8">
        <w:rPr>
          <w:rFonts w:ascii="Times New Roman" w:eastAsia="Times New Roman" w:hAnsi="Times New Roman" w:cs="Times New Roman"/>
          <w:i/>
          <w:iCs/>
          <w:sz w:val="24"/>
          <w:szCs w:val="24"/>
        </w:rPr>
        <w:t>profit loss sharing</w:t>
      </w:r>
      <w:r w:rsidR="005D64FC" w:rsidRPr="00B14ED8">
        <w:rPr>
          <w:rFonts w:ascii="Times New Roman" w:eastAsia="Times New Roman" w:hAnsi="Times New Roman" w:cs="Times New Roman"/>
          <w:i/>
          <w:iCs/>
          <w:sz w:val="24"/>
          <w:szCs w:val="24"/>
        </w:rPr>
        <w:t xml:space="preserve"> </w:t>
      </w:r>
      <w:r w:rsidR="005D64FC" w:rsidRPr="00B14ED8">
        <w:rPr>
          <w:rFonts w:ascii="Times New Roman" w:eastAsia="Times New Roman" w:hAnsi="Times New Roman" w:cs="Times New Roman"/>
          <w:sz w:val="24"/>
          <w:szCs w:val="24"/>
        </w:rPr>
        <w:t xml:space="preserve">yang </w:t>
      </w:r>
      <w:proofErr w:type="spellStart"/>
      <w:r w:rsidR="005D64FC" w:rsidRPr="00B14ED8">
        <w:rPr>
          <w:rFonts w:ascii="Times New Roman" w:eastAsia="Times New Roman" w:hAnsi="Times New Roman" w:cs="Times New Roman"/>
          <w:sz w:val="24"/>
          <w:szCs w:val="24"/>
        </w:rPr>
        <w:t>terdiri</w:t>
      </w:r>
      <w:proofErr w:type="spellEnd"/>
      <w:r w:rsidR="005D64FC" w:rsidRPr="00B14ED8">
        <w:rPr>
          <w:rFonts w:ascii="Times New Roman" w:eastAsia="Times New Roman" w:hAnsi="Times New Roman" w:cs="Times New Roman"/>
          <w:sz w:val="24"/>
          <w:szCs w:val="24"/>
        </w:rPr>
        <w:t xml:space="preserve"> </w:t>
      </w:r>
      <w:proofErr w:type="spellStart"/>
      <w:r w:rsidR="005D64FC" w:rsidRPr="00B14ED8">
        <w:rPr>
          <w:rFonts w:ascii="Times New Roman" w:eastAsia="Times New Roman" w:hAnsi="Times New Roman" w:cs="Times New Roman"/>
          <w:sz w:val="24"/>
          <w:szCs w:val="24"/>
        </w:rPr>
        <w:t>atas</w:t>
      </w:r>
      <w:proofErr w:type="spellEnd"/>
      <w:r w:rsidR="00E60924" w:rsidRPr="00B14ED8">
        <w:rPr>
          <w:rFonts w:ascii="Times New Roman" w:eastAsia="Times New Roman" w:hAnsi="Times New Roman" w:cs="Times New Roman"/>
          <w:sz w:val="24"/>
          <w:szCs w:val="24"/>
        </w:rPr>
        <w:t xml:space="preserve"> </w:t>
      </w:r>
      <w:proofErr w:type="spellStart"/>
      <w:r w:rsidR="00E60924" w:rsidRPr="00B14ED8">
        <w:rPr>
          <w:rFonts w:ascii="Times New Roman" w:eastAsia="Times New Roman" w:hAnsi="Times New Roman" w:cs="Times New Roman"/>
          <w:i/>
          <w:iCs/>
          <w:sz w:val="24"/>
          <w:szCs w:val="24"/>
        </w:rPr>
        <w:t>mudharabh</w:t>
      </w:r>
      <w:proofErr w:type="spellEnd"/>
      <w:r w:rsidR="00E60924" w:rsidRPr="00B14ED8">
        <w:rPr>
          <w:rFonts w:ascii="Times New Roman" w:eastAsia="Times New Roman" w:hAnsi="Times New Roman" w:cs="Times New Roman"/>
          <w:i/>
          <w:iCs/>
          <w:sz w:val="24"/>
          <w:szCs w:val="24"/>
        </w:rPr>
        <w:t xml:space="preserve"> </w:t>
      </w:r>
      <w:r w:rsidR="00E60924" w:rsidRPr="00B14ED8">
        <w:rPr>
          <w:rFonts w:ascii="Times New Roman" w:eastAsia="Times New Roman" w:hAnsi="Times New Roman" w:cs="Times New Roman"/>
          <w:sz w:val="24"/>
          <w:szCs w:val="24"/>
        </w:rPr>
        <w:t xml:space="preserve">dan </w:t>
      </w:r>
      <w:proofErr w:type="spellStart"/>
      <w:r w:rsidR="00E60924" w:rsidRPr="00B14ED8">
        <w:rPr>
          <w:rFonts w:ascii="Times New Roman" w:eastAsia="Times New Roman" w:hAnsi="Times New Roman" w:cs="Times New Roman"/>
          <w:i/>
          <w:iCs/>
          <w:sz w:val="24"/>
          <w:szCs w:val="24"/>
        </w:rPr>
        <w:t>musyarakah</w:t>
      </w:r>
      <w:proofErr w:type="spellEnd"/>
      <w:r w:rsidR="00D9798F" w:rsidRPr="00B14ED8">
        <w:rPr>
          <w:rFonts w:ascii="Times New Roman" w:eastAsia="Times New Roman" w:hAnsi="Times New Roman" w:cs="Times New Roman"/>
          <w:i/>
          <w:iCs/>
          <w:sz w:val="24"/>
          <w:szCs w:val="24"/>
        </w:rPr>
        <w:fldChar w:fldCharType="begin" w:fldLock="1"/>
      </w:r>
      <w:r w:rsidR="006F1645" w:rsidRPr="00B14ED8">
        <w:rPr>
          <w:rFonts w:ascii="Times New Roman" w:eastAsia="Times New Roman" w:hAnsi="Times New Roman" w:cs="Times New Roman"/>
          <w:i/>
          <w:iCs/>
          <w:sz w:val="24"/>
          <w:szCs w:val="24"/>
        </w:rPr>
        <w:instrText>ADDIN CSL_CITATION {"citationItems":[{"id":"ITEM-1","itemData":{"DOI":"10.1108/PRR-07-2020-0022","ISSN":"23984007","abstract":"Purpose: This study aims to examine the factors that influence profit–loss sharing (PLS) financing in Indonesian Islamic banks from the perspective of Islamic banks’ employees. Islamic banks have important role in influencing the amount of PLS financing distribution through their screening process. Design/methodology/approach: This study uses questionnaires in collecting data that are distributed to the employees who process or handle PLS financing in Islamic banks in Yogyakarta, Indonesia. The independent variables are risk, financing screening process, analysis of financial statement and competency of the employees of Islamic banks. The data are processed using multiple regression. Findings: This study finds that risk, the quality of financing screening process and the analysis of financial statement have positive influence on the PLS financing, whereas competency of employees of Islamic banks does not influence PLS financing. Practical implications: The results of this study are expected to give contribution to increase the role of Islamic banks in encouraging PLS financing. The adequate screening, controlling and monitoring system in Islamic banks should be strengthened to encourage the quality of financing distributed. Originality/value: Primary data are used in this study to know the perspective of Islamic bank employees in the financing division on the PLS financing. This study attempts to identify the perspective of employees who have direct relationship with the decision of financing in Islamic banks.","author":[{"dropping-particle":"","family":"Nugraheni","given":"Peni","non-dropping-particle":"","parse-names":false,"suffix":""},{"dropping-particle":"","family":"Alimin","given":"Istiqomah Nur","non-dropping-particle":"","parse-names":false,"suffix":""}],"container-title":"PSU Research Review","id":"ITEM-1","issue":"2","issued":{"date-parts":[["2022"]]},"page":"77-89","title":"Factors influencing PLS financing: the perspective of Indonesian Islamic banks employees","type":"article-journal","volume":"6"},"uris":["http://www.mendeley.com/documents/?uuid=1cc01dfe-b902-47ef-b515-5d1014b1184b"]}],"mendeley":{"formattedCitation":"(Nugraheni &amp; Alimin, 2022)","plainTextFormattedCitation":"(Nugraheni &amp; Alimin, 2022)","previouslyFormattedCitation":"(Nugraheni &amp; Alimin, 2022)"},"properties":{"noteIndex":0},"schema":"https://github.com/citation-style-language/schema/raw/master/csl-citation.json"}</w:instrText>
      </w:r>
      <w:r w:rsidR="00D9798F" w:rsidRPr="00B14ED8">
        <w:rPr>
          <w:rFonts w:ascii="Times New Roman" w:eastAsia="Times New Roman" w:hAnsi="Times New Roman" w:cs="Times New Roman"/>
          <w:i/>
          <w:iCs/>
          <w:sz w:val="24"/>
          <w:szCs w:val="24"/>
        </w:rPr>
        <w:fldChar w:fldCharType="separate"/>
      </w:r>
      <w:r w:rsidR="00D9798F" w:rsidRPr="00B14ED8">
        <w:rPr>
          <w:rFonts w:ascii="Times New Roman" w:eastAsia="Times New Roman" w:hAnsi="Times New Roman" w:cs="Times New Roman"/>
          <w:iCs/>
          <w:noProof/>
          <w:sz w:val="24"/>
          <w:szCs w:val="24"/>
        </w:rPr>
        <w:t>(Nugraheni &amp; Alimin, 2022)</w:t>
      </w:r>
      <w:r w:rsidR="00D9798F" w:rsidRPr="00B14ED8">
        <w:rPr>
          <w:rFonts w:ascii="Times New Roman" w:eastAsia="Times New Roman" w:hAnsi="Times New Roman" w:cs="Times New Roman"/>
          <w:i/>
          <w:iCs/>
          <w:sz w:val="24"/>
          <w:szCs w:val="24"/>
        </w:rPr>
        <w:fldChar w:fldCharType="end"/>
      </w:r>
      <w:r w:rsidR="009E7124" w:rsidRPr="00B14ED8">
        <w:rPr>
          <w:rFonts w:ascii="Times New Roman" w:eastAsia="Times New Roman" w:hAnsi="Times New Roman" w:cs="Times New Roman"/>
          <w:sz w:val="24"/>
          <w:szCs w:val="24"/>
        </w:rPr>
        <w:t>.</w:t>
      </w:r>
      <w:r w:rsidR="00006571" w:rsidRPr="00B14ED8">
        <w:rPr>
          <w:rFonts w:ascii="Times New Roman" w:eastAsia="Times New Roman" w:hAnsi="Times New Roman" w:cs="Times New Roman"/>
          <w:sz w:val="24"/>
          <w:szCs w:val="24"/>
        </w:rPr>
        <w:t xml:space="preserve"> </w:t>
      </w:r>
      <w:proofErr w:type="spellStart"/>
      <w:r w:rsidR="00006571" w:rsidRPr="00B14ED8">
        <w:rPr>
          <w:rFonts w:ascii="Times New Roman" w:eastAsia="Times New Roman" w:hAnsi="Times New Roman" w:cs="Times New Roman"/>
          <w:sz w:val="24"/>
          <w:szCs w:val="24"/>
        </w:rPr>
        <w:t>Sistem</w:t>
      </w:r>
      <w:proofErr w:type="spellEnd"/>
      <w:r w:rsidR="00006571" w:rsidRPr="00B14ED8">
        <w:rPr>
          <w:rFonts w:ascii="Times New Roman" w:eastAsia="Times New Roman" w:hAnsi="Times New Roman" w:cs="Times New Roman"/>
          <w:sz w:val="24"/>
          <w:szCs w:val="24"/>
        </w:rPr>
        <w:t xml:space="preserve"> </w:t>
      </w:r>
      <w:proofErr w:type="spellStart"/>
      <w:r w:rsidR="00006571" w:rsidRPr="00B14ED8">
        <w:rPr>
          <w:rFonts w:ascii="Times New Roman" w:eastAsia="Times New Roman" w:hAnsi="Times New Roman" w:cs="Times New Roman"/>
          <w:sz w:val="24"/>
          <w:szCs w:val="24"/>
        </w:rPr>
        <w:t>bagi</w:t>
      </w:r>
      <w:proofErr w:type="spellEnd"/>
      <w:r w:rsidR="00006571" w:rsidRPr="00B14ED8">
        <w:rPr>
          <w:rFonts w:ascii="Times New Roman" w:eastAsia="Times New Roman" w:hAnsi="Times New Roman" w:cs="Times New Roman"/>
          <w:sz w:val="24"/>
          <w:szCs w:val="24"/>
        </w:rPr>
        <w:t xml:space="preserve"> </w:t>
      </w:r>
      <w:proofErr w:type="spellStart"/>
      <w:r w:rsidR="00006571" w:rsidRPr="00B14ED8">
        <w:rPr>
          <w:rFonts w:ascii="Times New Roman" w:eastAsia="Times New Roman" w:hAnsi="Times New Roman" w:cs="Times New Roman"/>
          <w:sz w:val="24"/>
          <w:szCs w:val="24"/>
        </w:rPr>
        <w:t>hasil</w:t>
      </w:r>
      <w:proofErr w:type="spellEnd"/>
      <w:r w:rsidR="00006571" w:rsidRPr="00B14ED8">
        <w:rPr>
          <w:rFonts w:ascii="Times New Roman" w:eastAsia="Times New Roman" w:hAnsi="Times New Roman" w:cs="Times New Roman"/>
          <w:sz w:val="24"/>
          <w:szCs w:val="24"/>
        </w:rPr>
        <w:t xml:space="preserve"> </w:t>
      </w:r>
      <w:proofErr w:type="spellStart"/>
      <w:r w:rsidR="00006571" w:rsidRPr="00B14ED8">
        <w:rPr>
          <w:rFonts w:ascii="Times New Roman" w:eastAsia="Times New Roman" w:hAnsi="Times New Roman" w:cs="Times New Roman"/>
          <w:sz w:val="24"/>
          <w:szCs w:val="24"/>
        </w:rPr>
        <w:t>secara</w:t>
      </w:r>
      <w:proofErr w:type="spellEnd"/>
      <w:r w:rsidR="00006571" w:rsidRPr="00B14ED8">
        <w:rPr>
          <w:rFonts w:ascii="Times New Roman" w:eastAsia="Times New Roman" w:hAnsi="Times New Roman" w:cs="Times New Roman"/>
          <w:sz w:val="24"/>
          <w:szCs w:val="24"/>
        </w:rPr>
        <w:t xml:space="preserve"> fundamental </w:t>
      </w:r>
      <w:proofErr w:type="spellStart"/>
      <w:r w:rsidR="00006571" w:rsidRPr="00B14ED8">
        <w:rPr>
          <w:rFonts w:ascii="Times New Roman" w:eastAsia="Times New Roman" w:hAnsi="Times New Roman" w:cs="Times New Roman"/>
          <w:sz w:val="24"/>
          <w:szCs w:val="24"/>
        </w:rPr>
        <w:t>merupakan</w:t>
      </w:r>
      <w:proofErr w:type="spellEnd"/>
      <w:r w:rsidR="00006571" w:rsidRPr="00B14ED8">
        <w:rPr>
          <w:rFonts w:ascii="Times New Roman" w:eastAsia="Times New Roman" w:hAnsi="Times New Roman" w:cs="Times New Roman"/>
          <w:sz w:val="24"/>
          <w:szCs w:val="24"/>
        </w:rPr>
        <w:t xml:space="preserve"> </w:t>
      </w:r>
      <w:proofErr w:type="spellStart"/>
      <w:r w:rsidR="00006571" w:rsidRPr="00B14ED8">
        <w:rPr>
          <w:rFonts w:ascii="Times New Roman" w:eastAsia="Times New Roman" w:hAnsi="Times New Roman" w:cs="Times New Roman"/>
          <w:sz w:val="24"/>
          <w:szCs w:val="24"/>
        </w:rPr>
        <w:t>ciri</w:t>
      </w:r>
      <w:proofErr w:type="spellEnd"/>
      <w:r w:rsidR="00006571" w:rsidRPr="00B14ED8">
        <w:rPr>
          <w:rFonts w:ascii="Times New Roman" w:eastAsia="Times New Roman" w:hAnsi="Times New Roman" w:cs="Times New Roman"/>
          <w:sz w:val="24"/>
          <w:szCs w:val="24"/>
        </w:rPr>
        <w:t xml:space="preserve"> </w:t>
      </w:r>
      <w:proofErr w:type="spellStart"/>
      <w:r w:rsidR="00006571" w:rsidRPr="00B14ED8">
        <w:rPr>
          <w:rFonts w:ascii="Times New Roman" w:eastAsia="Times New Roman" w:hAnsi="Times New Roman" w:cs="Times New Roman"/>
          <w:sz w:val="24"/>
          <w:szCs w:val="24"/>
        </w:rPr>
        <w:t>khas</w:t>
      </w:r>
      <w:proofErr w:type="spellEnd"/>
      <w:r w:rsidR="00006571" w:rsidRPr="00B14ED8">
        <w:rPr>
          <w:rFonts w:ascii="Times New Roman" w:eastAsia="Times New Roman" w:hAnsi="Times New Roman" w:cs="Times New Roman"/>
          <w:sz w:val="24"/>
          <w:szCs w:val="24"/>
        </w:rPr>
        <w:t xml:space="preserve"> </w:t>
      </w:r>
      <w:proofErr w:type="spellStart"/>
      <w:r w:rsidR="00006571" w:rsidRPr="00B14ED8">
        <w:rPr>
          <w:rFonts w:ascii="Times New Roman" w:eastAsia="Times New Roman" w:hAnsi="Times New Roman" w:cs="Times New Roman"/>
          <w:sz w:val="24"/>
          <w:szCs w:val="24"/>
        </w:rPr>
        <w:t>investasi</w:t>
      </w:r>
      <w:proofErr w:type="spellEnd"/>
      <w:r w:rsidR="00006571" w:rsidRPr="00B14ED8">
        <w:rPr>
          <w:rFonts w:ascii="Times New Roman" w:eastAsia="Times New Roman" w:hAnsi="Times New Roman" w:cs="Times New Roman"/>
          <w:sz w:val="24"/>
          <w:szCs w:val="24"/>
        </w:rPr>
        <w:t xml:space="preserve"> </w:t>
      </w:r>
      <w:proofErr w:type="spellStart"/>
      <w:r w:rsidR="00006571" w:rsidRPr="00B14ED8">
        <w:rPr>
          <w:rFonts w:ascii="Times New Roman" w:eastAsia="Times New Roman" w:hAnsi="Times New Roman" w:cs="Times New Roman"/>
          <w:sz w:val="24"/>
          <w:szCs w:val="24"/>
        </w:rPr>
        <w:t>pe</w:t>
      </w:r>
      <w:r w:rsidR="008B1962" w:rsidRPr="00B14ED8">
        <w:rPr>
          <w:rFonts w:ascii="Times New Roman" w:eastAsia="Times New Roman" w:hAnsi="Times New Roman" w:cs="Times New Roman"/>
          <w:sz w:val="24"/>
          <w:szCs w:val="24"/>
        </w:rPr>
        <w:t>ndanaan</w:t>
      </w:r>
      <w:proofErr w:type="spellEnd"/>
      <w:r w:rsidR="008B1962" w:rsidRPr="00B14ED8">
        <w:rPr>
          <w:rFonts w:ascii="Times New Roman" w:eastAsia="Times New Roman" w:hAnsi="Times New Roman" w:cs="Times New Roman"/>
          <w:sz w:val="24"/>
          <w:szCs w:val="24"/>
        </w:rPr>
        <w:t xml:space="preserve"> </w:t>
      </w:r>
      <w:proofErr w:type="spellStart"/>
      <w:r w:rsidR="008B1962" w:rsidRPr="00B14ED8">
        <w:rPr>
          <w:rFonts w:ascii="Times New Roman" w:eastAsia="Times New Roman" w:hAnsi="Times New Roman" w:cs="Times New Roman"/>
          <w:sz w:val="24"/>
          <w:szCs w:val="24"/>
        </w:rPr>
        <w:t>syariah</w:t>
      </w:r>
      <w:proofErr w:type="spellEnd"/>
      <w:r w:rsidR="008B1962" w:rsidRPr="00B14ED8">
        <w:rPr>
          <w:rFonts w:ascii="Times New Roman" w:eastAsia="Times New Roman" w:hAnsi="Times New Roman" w:cs="Times New Roman"/>
          <w:sz w:val="24"/>
          <w:szCs w:val="24"/>
        </w:rPr>
        <w:t xml:space="preserve"> yang </w:t>
      </w:r>
      <w:proofErr w:type="spellStart"/>
      <w:r w:rsidR="008B1962" w:rsidRPr="00B14ED8">
        <w:rPr>
          <w:rFonts w:ascii="Times New Roman" w:eastAsia="Times New Roman" w:hAnsi="Times New Roman" w:cs="Times New Roman"/>
          <w:sz w:val="24"/>
          <w:szCs w:val="24"/>
        </w:rPr>
        <w:t>menjadi</w:t>
      </w:r>
      <w:proofErr w:type="spellEnd"/>
      <w:r w:rsidR="008B1962" w:rsidRPr="00B14ED8">
        <w:rPr>
          <w:rFonts w:ascii="Times New Roman" w:eastAsia="Times New Roman" w:hAnsi="Times New Roman" w:cs="Times New Roman"/>
          <w:sz w:val="24"/>
          <w:szCs w:val="24"/>
        </w:rPr>
        <w:t xml:space="preserve"> </w:t>
      </w:r>
      <w:proofErr w:type="spellStart"/>
      <w:r w:rsidR="008B1962" w:rsidRPr="00B14ED8">
        <w:rPr>
          <w:rFonts w:ascii="Times New Roman" w:eastAsia="Times New Roman" w:hAnsi="Times New Roman" w:cs="Times New Roman"/>
          <w:sz w:val="24"/>
          <w:szCs w:val="24"/>
        </w:rPr>
        <w:t>pembeda</w:t>
      </w:r>
      <w:proofErr w:type="spellEnd"/>
      <w:r w:rsidR="008B1962" w:rsidRPr="00B14ED8">
        <w:rPr>
          <w:rFonts w:ascii="Times New Roman" w:eastAsia="Times New Roman" w:hAnsi="Times New Roman" w:cs="Times New Roman"/>
          <w:sz w:val="24"/>
          <w:szCs w:val="24"/>
        </w:rPr>
        <w:t xml:space="preserve"> pada </w:t>
      </w:r>
      <w:proofErr w:type="spellStart"/>
      <w:r w:rsidR="008B1962" w:rsidRPr="00B14ED8">
        <w:rPr>
          <w:rFonts w:ascii="Times New Roman" w:eastAsia="Times New Roman" w:hAnsi="Times New Roman" w:cs="Times New Roman"/>
          <w:sz w:val="24"/>
          <w:szCs w:val="24"/>
        </w:rPr>
        <w:t>sistem</w:t>
      </w:r>
      <w:proofErr w:type="spellEnd"/>
      <w:r w:rsidR="008B1962" w:rsidRPr="00B14ED8">
        <w:rPr>
          <w:rFonts w:ascii="Times New Roman" w:eastAsia="Times New Roman" w:hAnsi="Times New Roman" w:cs="Times New Roman"/>
          <w:sz w:val="24"/>
          <w:szCs w:val="24"/>
        </w:rPr>
        <w:t xml:space="preserve"> </w:t>
      </w:r>
      <w:proofErr w:type="spellStart"/>
      <w:r w:rsidR="008B1962" w:rsidRPr="00B14ED8">
        <w:rPr>
          <w:rFonts w:ascii="Times New Roman" w:eastAsia="Times New Roman" w:hAnsi="Times New Roman" w:cs="Times New Roman"/>
          <w:sz w:val="24"/>
          <w:szCs w:val="24"/>
        </w:rPr>
        <w:t>perbankan</w:t>
      </w:r>
      <w:proofErr w:type="spellEnd"/>
      <w:r w:rsidR="008B1962" w:rsidRPr="00B14ED8">
        <w:rPr>
          <w:rFonts w:ascii="Times New Roman" w:eastAsia="Times New Roman" w:hAnsi="Times New Roman" w:cs="Times New Roman"/>
          <w:sz w:val="24"/>
          <w:szCs w:val="24"/>
        </w:rPr>
        <w:t xml:space="preserve"> </w:t>
      </w:r>
      <w:proofErr w:type="spellStart"/>
      <w:r w:rsidR="008B1962" w:rsidRPr="00B14ED8">
        <w:rPr>
          <w:rFonts w:ascii="Times New Roman" w:eastAsia="Times New Roman" w:hAnsi="Times New Roman" w:cs="Times New Roman"/>
          <w:sz w:val="24"/>
          <w:szCs w:val="24"/>
        </w:rPr>
        <w:t>fungsional</w:t>
      </w:r>
      <w:proofErr w:type="spellEnd"/>
      <w:r w:rsidR="008B1962" w:rsidRPr="00B14ED8">
        <w:rPr>
          <w:rFonts w:ascii="Times New Roman" w:eastAsia="Times New Roman" w:hAnsi="Times New Roman" w:cs="Times New Roman"/>
          <w:sz w:val="24"/>
          <w:szCs w:val="24"/>
        </w:rPr>
        <w:t xml:space="preserve"> yang </w:t>
      </w:r>
      <w:proofErr w:type="spellStart"/>
      <w:r w:rsidR="008B1962" w:rsidRPr="00B14ED8">
        <w:rPr>
          <w:rFonts w:ascii="Times New Roman" w:eastAsia="Times New Roman" w:hAnsi="Times New Roman" w:cs="Times New Roman"/>
          <w:sz w:val="24"/>
          <w:szCs w:val="24"/>
        </w:rPr>
        <w:t>identik</w:t>
      </w:r>
      <w:proofErr w:type="spellEnd"/>
      <w:r w:rsidR="008B1962" w:rsidRPr="00B14ED8">
        <w:rPr>
          <w:rFonts w:ascii="Times New Roman" w:eastAsia="Times New Roman" w:hAnsi="Times New Roman" w:cs="Times New Roman"/>
          <w:sz w:val="24"/>
          <w:szCs w:val="24"/>
        </w:rPr>
        <w:t xml:space="preserve"> </w:t>
      </w:r>
      <w:proofErr w:type="spellStart"/>
      <w:r w:rsidR="008B1962" w:rsidRPr="00B14ED8">
        <w:rPr>
          <w:rFonts w:ascii="Times New Roman" w:eastAsia="Times New Roman" w:hAnsi="Times New Roman" w:cs="Times New Roman"/>
          <w:sz w:val="24"/>
          <w:szCs w:val="24"/>
        </w:rPr>
        <w:t>dengan</w:t>
      </w:r>
      <w:proofErr w:type="spellEnd"/>
      <w:r w:rsidR="008B1962" w:rsidRPr="00B14ED8">
        <w:rPr>
          <w:rFonts w:ascii="Times New Roman" w:eastAsia="Times New Roman" w:hAnsi="Times New Roman" w:cs="Times New Roman"/>
          <w:sz w:val="24"/>
          <w:szCs w:val="24"/>
        </w:rPr>
        <w:t xml:space="preserve"> </w:t>
      </w:r>
      <w:proofErr w:type="spellStart"/>
      <w:r w:rsidR="008B1962" w:rsidRPr="00B14ED8">
        <w:rPr>
          <w:rFonts w:ascii="Times New Roman" w:eastAsia="Times New Roman" w:hAnsi="Times New Roman" w:cs="Times New Roman"/>
          <w:sz w:val="24"/>
          <w:szCs w:val="24"/>
        </w:rPr>
        <w:t>sistem</w:t>
      </w:r>
      <w:proofErr w:type="spellEnd"/>
      <w:r w:rsidR="008B1962" w:rsidRPr="00B14ED8">
        <w:rPr>
          <w:rFonts w:ascii="Times New Roman" w:eastAsia="Times New Roman" w:hAnsi="Times New Roman" w:cs="Times New Roman"/>
          <w:sz w:val="24"/>
          <w:szCs w:val="24"/>
        </w:rPr>
        <w:t xml:space="preserve"> </w:t>
      </w:r>
      <w:proofErr w:type="spellStart"/>
      <w:r w:rsidR="008B1962" w:rsidRPr="00B14ED8">
        <w:rPr>
          <w:rFonts w:ascii="Times New Roman" w:eastAsia="Times New Roman" w:hAnsi="Times New Roman" w:cs="Times New Roman"/>
          <w:i/>
          <w:iCs/>
          <w:sz w:val="24"/>
          <w:szCs w:val="24"/>
        </w:rPr>
        <w:t>ribawi</w:t>
      </w:r>
      <w:proofErr w:type="spellEnd"/>
      <w:r w:rsidR="008B1962" w:rsidRPr="00B14ED8">
        <w:rPr>
          <w:rFonts w:ascii="Times New Roman" w:eastAsia="Times New Roman" w:hAnsi="Times New Roman" w:cs="Times New Roman"/>
          <w:i/>
          <w:iCs/>
          <w:sz w:val="24"/>
          <w:szCs w:val="24"/>
        </w:rPr>
        <w:t xml:space="preserve"> </w:t>
      </w:r>
      <w:r w:rsidR="008B1962" w:rsidRPr="00B14ED8">
        <w:rPr>
          <w:rFonts w:ascii="Times New Roman" w:eastAsia="Times New Roman" w:hAnsi="Times New Roman" w:cs="Times New Roman"/>
          <w:sz w:val="24"/>
          <w:szCs w:val="24"/>
        </w:rPr>
        <w:t xml:space="preserve">yang </w:t>
      </w:r>
      <w:proofErr w:type="spellStart"/>
      <w:r w:rsidR="008B1962" w:rsidRPr="00B14ED8">
        <w:rPr>
          <w:rFonts w:ascii="Times New Roman" w:eastAsia="Times New Roman" w:hAnsi="Times New Roman" w:cs="Times New Roman"/>
          <w:sz w:val="24"/>
          <w:szCs w:val="24"/>
        </w:rPr>
        <w:t>memang</w:t>
      </w:r>
      <w:proofErr w:type="spellEnd"/>
      <w:r w:rsidR="008B1962" w:rsidRPr="00B14ED8">
        <w:rPr>
          <w:rFonts w:ascii="Times New Roman" w:eastAsia="Times New Roman" w:hAnsi="Times New Roman" w:cs="Times New Roman"/>
          <w:sz w:val="24"/>
          <w:szCs w:val="24"/>
        </w:rPr>
        <w:t xml:space="preserve"> </w:t>
      </w:r>
      <w:proofErr w:type="spellStart"/>
      <w:r w:rsidR="008B1962" w:rsidRPr="00B14ED8">
        <w:rPr>
          <w:rFonts w:ascii="Times New Roman" w:eastAsia="Times New Roman" w:hAnsi="Times New Roman" w:cs="Times New Roman"/>
          <w:sz w:val="24"/>
          <w:szCs w:val="24"/>
        </w:rPr>
        <w:t>secara</w:t>
      </w:r>
      <w:proofErr w:type="spellEnd"/>
      <w:r w:rsidR="008B1962" w:rsidRPr="00B14ED8">
        <w:rPr>
          <w:rFonts w:ascii="Times New Roman" w:eastAsia="Times New Roman" w:hAnsi="Times New Roman" w:cs="Times New Roman"/>
          <w:sz w:val="24"/>
          <w:szCs w:val="24"/>
        </w:rPr>
        <w:t xml:space="preserve"> </w:t>
      </w:r>
      <w:proofErr w:type="spellStart"/>
      <w:r w:rsidR="008B1962" w:rsidRPr="00B14ED8">
        <w:rPr>
          <w:rFonts w:ascii="Times New Roman" w:eastAsia="Times New Roman" w:hAnsi="Times New Roman" w:cs="Times New Roman"/>
          <w:sz w:val="24"/>
          <w:szCs w:val="24"/>
        </w:rPr>
        <w:t>langsung</w:t>
      </w:r>
      <w:proofErr w:type="spellEnd"/>
      <w:r w:rsidR="008B1962" w:rsidRPr="00B14ED8">
        <w:rPr>
          <w:rFonts w:ascii="Times New Roman" w:eastAsia="Times New Roman" w:hAnsi="Times New Roman" w:cs="Times New Roman"/>
          <w:sz w:val="24"/>
          <w:szCs w:val="24"/>
        </w:rPr>
        <w:t xml:space="preserve"> </w:t>
      </w:r>
      <w:proofErr w:type="spellStart"/>
      <w:r w:rsidR="008B1962" w:rsidRPr="00B14ED8">
        <w:rPr>
          <w:rFonts w:ascii="Times New Roman" w:eastAsia="Times New Roman" w:hAnsi="Times New Roman" w:cs="Times New Roman"/>
          <w:sz w:val="24"/>
          <w:szCs w:val="24"/>
        </w:rPr>
        <w:t>diharamkan</w:t>
      </w:r>
      <w:proofErr w:type="spellEnd"/>
      <w:r w:rsidR="008B1962" w:rsidRPr="00B14ED8">
        <w:rPr>
          <w:rFonts w:ascii="Times New Roman" w:eastAsia="Times New Roman" w:hAnsi="Times New Roman" w:cs="Times New Roman"/>
          <w:sz w:val="24"/>
          <w:szCs w:val="24"/>
        </w:rPr>
        <w:t xml:space="preserve"> di </w:t>
      </w:r>
      <w:proofErr w:type="spellStart"/>
      <w:r w:rsidR="008B1962" w:rsidRPr="00B14ED8">
        <w:rPr>
          <w:rFonts w:ascii="Times New Roman" w:eastAsia="Times New Roman" w:hAnsi="Times New Roman" w:cs="Times New Roman"/>
          <w:sz w:val="24"/>
          <w:szCs w:val="24"/>
        </w:rPr>
        <w:t>dalam</w:t>
      </w:r>
      <w:proofErr w:type="spellEnd"/>
      <w:r w:rsidR="008B1962" w:rsidRPr="00B14ED8">
        <w:rPr>
          <w:rFonts w:ascii="Times New Roman" w:eastAsia="Times New Roman" w:hAnsi="Times New Roman" w:cs="Times New Roman"/>
          <w:sz w:val="24"/>
          <w:szCs w:val="24"/>
        </w:rPr>
        <w:t xml:space="preserve"> </w:t>
      </w:r>
      <w:proofErr w:type="spellStart"/>
      <w:r w:rsidR="00CF2D57" w:rsidRPr="00B14ED8">
        <w:rPr>
          <w:rFonts w:ascii="Times New Roman" w:eastAsia="Times New Roman" w:hAnsi="Times New Roman" w:cs="Times New Roman"/>
          <w:sz w:val="24"/>
          <w:szCs w:val="24"/>
        </w:rPr>
        <w:t>aturan</w:t>
      </w:r>
      <w:proofErr w:type="spellEnd"/>
      <w:r w:rsidR="00CF2D57" w:rsidRPr="00B14ED8">
        <w:rPr>
          <w:rFonts w:ascii="Times New Roman" w:eastAsia="Times New Roman" w:hAnsi="Times New Roman" w:cs="Times New Roman"/>
          <w:sz w:val="24"/>
          <w:szCs w:val="24"/>
        </w:rPr>
        <w:t xml:space="preserve"> </w:t>
      </w:r>
      <w:proofErr w:type="spellStart"/>
      <w:r w:rsidR="00CF2D57" w:rsidRPr="00B14ED8">
        <w:rPr>
          <w:rFonts w:ascii="Times New Roman" w:eastAsia="Times New Roman" w:hAnsi="Times New Roman" w:cs="Times New Roman"/>
          <w:sz w:val="24"/>
          <w:szCs w:val="24"/>
        </w:rPr>
        <w:t>syariah</w:t>
      </w:r>
      <w:proofErr w:type="spellEnd"/>
      <w:r w:rsidR="00BD6B9D" w:rsidRPr="00B14ED8">
        <w:rPr>
          <w:rFonts w:ascii="Times New Roman" w:eastAsia="Times New Roman" w:hAnsi="Times New Roman" w:cs="Times New Roman"/>
          <w:sz w:val="24"/>
          <w:szCs w:val="24"/>
        </w:rPr>
        <w:fldChar w:fldCharType="begin" w:fldLock="1"/>
      </w:r>
      <w:r w:rsidR="00651CF0" w:rsidRPr="00B14ED8">
        <w:rPr>
          <w:rFonts w:ascii="Times New Roman" w:eastAsia="Times New Roman" w:hAnsi="Times New Roman" w:cs="Times New Roman"/>
          <w:sz w:val="24"/>
          <w:szCs w:val="24"/>
        </w:rPr>
        <w:instrText>ADDIN CSL_CITATION {"citationItems":[{"id":"ITEM-1","itemData":{"DOI":"10.1108/IJIF-04-2018-0041","ISSN":"22894365","abstract":"Purpose: This study aims to gain the perception of Selangor’s disadvantaged women on the Sharīʿah (Islamic law) rules on two micro-equity financing instruments, namely, muḍārabah (profit sharing) and mushārakah (profit-and-loss sharing) (M&amp;M). Design/methodology/approach: A survey was carried out in the rural area of Selangor district in Malaysia by administering a self-generated structured questionnaire. A total of 330 completed questionnaires were retrieved from the members of an Islamic microfinance institution (IsMFI), namely, Amanah Ikhtiar Malaysia (AIM). The data were analysed by using structural equation modelling. Findings: The female borrowers of AIM perceive the Sharīʿah rules of M&amp;M requiring high moral and ethical values and diligent repayment performance. They are aware of some other underlying provisions such as business liquidation, share transfer, information discloser and business termination. The overall findings of this study suggest that the perceived Sharīʿah rules are akin to those that are commonly used in general partnership businesses between Muslims. It also indicates that disadvantaged entrepreneurs would accept the rules that are easy to comprehend as well as favourable to their interests. It further suggests that respondents’ experiences of microfinance and business operation do not have a significant influence on their perception of M&amp;M instruments. Research limitations/implications: This study was limited to Selangor. So, the perception of Muslim women surveyed may not represent the views of all women in Malaysia. However, it can offer a primary understanding of the said issue. Practical implications: The findings of this study can help IsMIFs take initiatives to offer M&amp;M as micro-equity finance to poor women entrepreneurs. Originality/value: So far, limited studies have been carried out on M&amp;M-based microfinancing. This paper offers new insights presenting disadvantaged women entrepreneurs’ perception of these financing instruments.","author":[{"dropping-particle":"","family":"Islam","given":"Reazul","non-dropping-particle":"","parse-names":false,"suffix":""},{"dropping-particle":"","family":"Ahmad","given":"Rubi","non-dropping-particle":"","parse-names":false,"suffix":""}],"container-title":"ISRA International Journal of Islamic Finance","id":"ITEM-1","issue":"2","issued":{"date-parts":[["2020"]]},"page":"217-237","title":"Muḍārabah and mushārakah as micro-equity finance: perception of Selangor’s disadvantaged women entrepreneurs","type":"article-journal","volume":"12"},"uris":["http://www.mendeley.com/documents/?uuid=bc383b3c-ecba-48ce-9526-abfbd4e93869"]}],"mendeley":{"formattedCitation":"(Islam &amp; Ahmad, 2020)","plainTextFormattedCitation":"(Islam &amp; Ahmad, 2020)","previouslyFormattedCitation":"(Islam &amp; Ahmad, 2020)"},"properties":{"noteIndex":0},"schema":"https://github.com/citation-style-language/schema/raw/master/csl-citation.json"}</w:instrText>
      </w:r>
      <w:r w:rsidR="00BD6B9D" w:rsidRPr="00B14ED8">
        <w:rPr>
          <w:rFonts w:ascii="Times New Roman" w:eastAsia="Times New Roman" w:hAnsi="Times New Roman" w:cs="Times New Roman"/>
          <w:sz w:val="24"/>
          <w:szCs w:val="24"/>
        </w:rPr>
        <w:fldChar w:fldCharType="separate"/>
      </w:r>
      <w:r w:rsidR="00BD6B9D" w:rsidRPr="00B14ED8">
        <w:rPr>
          <w:rFonts w:ascii="Times New Roman" w:eastAsia="Times New Roman" w:hAnsi="Times New Roman" w:cs="Times New Roman"/>
          <w:noProof/>
          <w:sz w:val="24"/>
          <w:szCs w:val="24"/>
        </w:rPr>
        <w:t>(Islam &amp; Ahmad, 2020)</w:t>
      </w:r>
      <w:r w:rsidR="00BD6B9D" w:rsidRPr="00B14ED8">
        <w:rPr>
          <w:rFonts w:ascii="Times New Roman" w:eastAsia="Times New Roman" w:hAnsi="Times New Roman" w:cs="Times New Roman"/>
          <w:sz w:val="24"/>
          <w:szCs w:val="24"/>
        </w:rPr>
        <w:fldChar w:fldCharType="end"/>
      </w:r>
      <w:r w:rsidR="00CF2D57" w:rsidRPr="00B14ED8">
        <w:rPr>
          <w:rFonts w:ascii="Times New Roman" w:eastAsia="Times New Roman" w:hAnsi="Times New Roman" w:cs="Times New Roman"/>
          <w:sz w:val="24"/>
          <w:szCs w:val="24"/>
        </w:rPr>
        <w:t>.</w:t>
      </w:r>
    </w:p>
    <w:p w14:paraId="419BCEA5" w14:textId="14AE2978" w:rsidR="006E5FFB" w:rsidRPr="00B14ED8" w:rsidRDefault="004D7F64" w:rsidP="00B14ED8">
      <w:pPr>
        <w:spacing w:after="0" w:line="360" w:lineRule="auto"/>
        <w:ind w:firstLine="567"/>
        <w:jc w:val="both"/>
        <w:rPr>
          <w:rFonts w:ascii="Times New Roman" w:hAnsi="Times New Roman" w:cs="Times New Roman"/>
          <w:sz w:val="24"/>
          <w:szCs w:val="24"/>
        </w:rPr>
      </w:pPr>
      <w:proofErr w:type="spellStart"/>
      <w:r w:rsidRPr="00B14ED8">
        <w:rPr>
          <w:rFonts w:ascii="Times New Roman" w:eastAsia="Times New Roman" w:hAnsi="Times New Roman" w:cs="Times New Roman"/>
          <w:sz w:val="24"/>
          <w:szCs w:val="24"/>
        </w:rPr>
        <w:t>Keunikan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dari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sistem</w:t>
      </w:r>
      <w:proofErr w:type="spellEnd"/>
      <w:r w:rsidR="005B11CE" w:rsidRPr="00B14ED8">
        <w:rPr>
          <w:rFonts w:ascii="Times New Roman" w:eastAsia="Times New Roman" w:hAnsi="Times New Roman" w:cs="Times New Roman"/>
          <w:sz w:val="24"/>
          <w:szCs w:val="24"/>
        </w:rPr>
        <w:t xml:space="preserve"> </w:t>
      </w:r>
      <w:proofErr w:type="spellStart"/>
      <w:r w:rsidR="005B11CE" w:rsidRPr="00B14ED8">
        <w:rPr>
          <w:rFonts w:ascii="Times New Roman" w:eastAsia="Times New Roman" w:hAnsi="Times New Roman" w:cs="Times New Roman"/>
          <w:sz w:val="24"/>
          <w:szCs w:val="24"/>
        </w:rPr>
        <w:t>tersebut</w:t>
      </w:r>
      <w:proofErr w:type="spellEnd"/>
      <w:r w:rsidR="000468A6" w:rsidRPr="00B14ED8">
        <w:rPr>
          <w:rFonts w:ascii="Times New Roman" w:eastAsia="Times New Roman" w:hAnsi="Times New Roman" w:cs="Times New Roman"/>
          <w:sz w:val="24"/>
          <w:szCs w:val="24"/>
        </w:rPr>
        <w:t xml:space="preserve"> yang </w:t>
      </w:r>
      <w:proofErr w:type="spellStart"/>
      <w:r w:rsidR="000468A6" w:rsidRPr="00B14ED8">
        <w:rPr>
          <w:rFonts w:ascii="Times New Roman" w:eastAsia="Times New Roman" w:hAnsi="Times New Roman" w:cs="Times New Roman"/>
          <w:sz w:val="24"/>
          <w:szCs w:val="24"/>
        </w:rPr>
        <w:t>bebas</w:t>
      </w:r>
      <w:proofErr w:type="spellEnd"/>
      <w:r w:rsidR="000468A6" w:rsidRPr="00B14ED8">
        <w:rPr>
          <w:rFonts w:ascii="Times New Roman" w:eastAsia="Times New Roman" w:hAnsi="Times New Roman" w:cs="Times New Roman"/>
          <w:sz w:val="24"/>
          <w:szCs w:val="24"/>
        </w:rPr>
        <w:t xml:space="preserve"> </w:t>
      </w:r>
      <w:proofErr w:type="spellStart"/>
      <w:r w:rsidR="000468A6" w:rsidRPr="00B14ED8">
        <w:rPr>
          <w:rFonts w:ascii="Times New Roman" w:eastAsia="Times New Roman" w:hAnsi="Times New Roman" w:cs="Times New Roman"/>
          <w:sz w:val="24"/>
          <w:szCs w:val="24"/>
        </w:rPr>
        <w:t>dari</w:t>
      </w:r>
      <w:proofErr w:type="spellEnd"/>
      <w:r w:rsidR="000468A6" w:rsidRPr="00B14ED8">
        <w:rPr>
          <w:rFonts w:ascii="Times New Roman" w:eastAsia="Times New Roman" w:hAnsi="Times New Roman" w:cs="Times New Roman"/>
          <w:sz w:val="24"/>
          <w:szCs w:val="24"/>
        </w:rPr>
        <w:t xml:space="preserve"> </w:t>
      </w:r>
      <w:proofErr w:type="spellStart"/>
      <w:r w:rsidR="000468A6" w:rsidRPr="00B14ED8">
        <w:rPr>
          <w:rFonts w:ascii="Times New Roman" w:eastAsia="Times New Roman" w:hAnsi="Times New Roman" w:cs="Times New Roman"/>
          <w:i/>
          <w:iCs/>
          <w:sz w:val="24"/>
          <w:szCs w:val="24"/>
        </w:rPr>
        <w:t>ribawi</w:t>
      </w:r>
      <w:proofErr w:type="spellEnd"/>
      <w:r w:rsidR="009018B9" w:rsidRPr="00B14ED8">
        <w:rPr>
          <w:rFonts w:ascii="Times New Roman" w:eastAsia="Times New Roman" w:hAnsi="Times New Roman" w:cs="Times New Roman"/>
          <w:sz w:val="24"/>
          <w:szCs w:val="24"/>
        </w:rPr>
        <w:t xml:space="preserve">, </w:t>
      </w:r>
      <w:proofErr w:type="spellStart"/>
      <w:r w:rsidR="009018B9" w:rsidRPr="00B14ED8">
        <w:rPr>
          <w:rFonts w:ascii="Times New Roman" w:eastAsia="Times New Roman" w:hAnsi="Times New Roman" w:cs="Times New Roman"/>
          <w:sz w:val="24"/>
          <w:szCs w:val="24"/>
        </w:rPr>
        <w:t>terbukti</w:t>
      </w:r>
      <w:proofErr w:type="spellEnd"/>
      <w:r w:rsidR="009018B9" w:rsidRPr="00B14ED8">
        <w:rPr>
          <w:rFonts w:ascii="Times New Roman" w:eastAsia="Times New Roman" w:hAnsi="Times New Roman" w:cs="Times New Roman"/>
          <w:sz w:val="24"/>
          <w:szCs w:val="24"/>
        </w:rPr>
        <w:t xml:space="preserve"> </w:t>
      </w:r>
      <w:proofErr w:type="spellStart"/>
      <w:r w:rsidR="005B11CE" w:rsidRPr="00B14ED8">
        <w:rPr>
          <w:rFonts w:ascii="Times New Roman" w:eastAsia="Times New Roman" w:hAnsi="Times New Roman" w:cs="Times New Roman"/>
          <w:sz w:val="24"/>
          <w:szCs w:val="24"/>
        </w:rPr>
        <w:t>mampu</w:t>
      </w:r>
      <w:proofErr w:type="spellEnd"/>
      <w:r w:rsidR="005B11CE" w:rsidRPr="00B14ED8">
        <w:rPr>
          <w:rFonts w:ascii="Times New Roman" w:eastAsia="Times New Roman" w:hAnsi="Times New Roman" w:cs="Times New Roman"/>
          <w:sz w:val="24"/>
          <w:szCs w:val="24"/>
        </w:rPr>
        <w:t xml:space="preserve"> </w:t>
      </w:r>
      <w:proofErr w:type="spellStart"/>
      <w:r w:rsidR="005B11CE" w:rsidRPr="00B14ED8">
        <w:rPr>
          <w:rFonts w:ascii="Times New Roman" w:eastAsia="Times New Roman" w:hAnsi="Times New Roman" w:cs="Times New Roman"/>
          <w:sz w:val="24"/>
          <w:szCs w:val="24"/>
        </w:rPr>
        <w:t>mendorong</w:t>
      </w:r>
      <w:proofErr w:type="spellEnd"/>
      <w:r w:rsidR="005B11CE" w:rsidRPr="00B14ED8">
        <w:rPr>
          <w:rFonts w:ascii="Times New Roman" w:eastAsia="Times New Roman" w:hAnsi="Times New Roman" w:cs="Times New Roman"/>
          <w:sz w:val="24"/>
          <w:szCs w:val="24"/>
        </w:rPr>
        <w:t xml:space="preserve"> </w:t>
      </w:r>
      <w:proofErr w:type="spellStart"/>
      <w:r w:rsidR="005B11CE" w:rsidRPr="00B14ED8">
        <w:rPr>
          <w:rFonts w:ascii="Times New Roman" w:eastAsia="Times New Roman" w:hAnsi="Times New Roman" w:cs="Times New Roman"/>
          <w:sz w:val="24"/>
          <w:szCs w:val="24"/>
        </w:rPr>
        <w:t>lebih</w:t>
      </w:r>
      <w:proofErr w:type="spellEnd"/>
      <w:r w:rsidR="005B11CE" w:rsidRPr="00B14ED8">
        <w:rPr>
          <w:rFonts w:ascii="Times New Roman" w:eastAsia="Times New Roman" w:hAnsi="Times New Roman" w:cs="Times New Roman"/>
          <w:sz w:val="24"/>
          <w:szCs w:val="24"/>
        </w:rPr>
        <w:t xml:space="preserve"> </w:t>
      </w:r>
      <w:proofErr w:type="spellStart"/>
      <w:r w:rsidR="005B11CE" w:rsidRPr="00B14ED8">
        <w:rPr>
          <w:rFonts w:ascii="Times New Roman" w:eastAsia="Times New Roman" w:hAnsi="Times New Roman" w:cs="Times New Roman"/>
          <w:sz w:val="24"/>
          <w:szCs w:val="24"/>
        </w:rPr>
        <w:t>banyak</w:t>
      </w:r>
      <w:proofErr w:type="spellEnd"/>
      <w:r w:rsidR="005B11CE" w:rsidRPr="00B14ED8">
        <w:rPr>
          <w:rFonts w:ascii="Times New Roman" w:eastAsia="Times New Roman" w:hAnsi="Times New Roman" w:cs="Times New Roman"/>
          <w:sz w:val="24"/>
          <w:szCs w:val="24"/>
        </w:rPr>
        <w:t xml:space="preserve"> </w:t>
      </w:r>
      <w:proofErr w:type="spellStart"/>
      <w:r w:rsidR="005B11CE" w:rsidRPr="00B14ED8">
        <w:rPr>
          <w:rFonts w:ascii="Times New Roman" w:eastAsia="Times New Roman" w:hAnsi="Times New Roman" w:cs="Times New Roman"/>
          <w:sz w:val="24"/>
          <w:szCs w:val="24"/>
        </w:rPr>
        <w:t>masyarakat</w:t>
      </w:r>
      <w:proofErr w:type="spellEnd"/>
      <w:r w:rsidR="005B11CE" w:rsidRPr="00B14ED8">
        <w:rPr>
          <w:rFonts w:ascii="Times New Roman" w:eastAsia="Times New Roman" w:hAnsi="Times New Roman" w:cs="Times New Roman"/>
          <w:sz w:val="24"/>
          <w:szCs w:val="24"/>
        </w:rPr>
        <w:t xml:space="preserve"> </w:t>
      </w:r>
      <w:proofErr w:type="spellStart"/>
      <w:r w:rsidR="005B11CE" w:rsidRPr="00B14ED8">
        <w:rPr>
          <w:rFonts w:ascii="Times New Roman" w:eastAsia="Times New Roman" w:hAnsi="Times New Roman" w:cs="Times New Roman"/>
          <w:sz w:val="24"/>
          <w:szCs w:val="24"/>
        </w:rPr>
        <w:t>untuk</w:t>
      </w:r>
      <w:proofErr w:type="spellEnd"/>
      <w:r w:rsidR="005B11CE" w:rsidRPr="00B14ED8">
        <w:rPr>
          <w:rFonts w:ascii="Times New Roman" w:eastAsia="Times New Roman" w:hAnsi="Times New Roman" w:cs="Times New Roman"/>
          <w:sz w:val="24"/>
          <w:szCs w:val="24"/>
        </w:rPr>
        <w:t xml:space="preserve"> </w:t>
      </w:r>
      <w:proofErr w:type="spellStart"/>
      <w:r w:rsidR="005B11CE" w:rsidRPr="00B14ED8">
        <w:rPr>
          <w:rFonts w:ascii="Times New Roman" w:eastAsia="Times New Roman" w:hAnsi="Times New Roman" w:cs="Times New Roman"/>
          <w:sz w:val="24"/>
          <w:szCs w:val="24"/>
        </w:rPr>
        <w:t>mengajukan</w:t>
      </w:r>
      <w:proofErr w:type="spellEnd"/>
      <w:r w:rsidR="005B11CE" w:rsidRPr="00B14ED8">
        <w:rPr>
          <w:rFonts w:ascii="Times New Roman" w:eastAsia="Times New Roman" w:hAnsi="Times New Roman" w:cs="Times New Roman"/>
          <w:sz w:val="24"/>
          <w:szCs w:val="24"/>
        </w:rPr>
        <w:t xml:space="preserve"> </w:t>
      </w:r>
      <w:proofErr w:type="spellStart"/>
      <w:r w:rsidR="005B11CE" w:rsidRPr="00B14ED8">
        <w:rPr>
          <w:rFonts w:ascii="Times New Roman" w:eastAsia="Times New Roman" w:hAnsi="Times New Roman" w:cs="Times New Roman"/>
          <w:sz w:val="24"/>
          <w:szCs w:val="24"/>
        </w:rPr>
        <w:t>akad</w:t>
      </w:r>
      <w:proofErr w:type="spellEnd"/>
      <w:r w:rsidR="005B11CE" w:rsidRPr="00B14ED8">
        <w:rPr>
          <w:rFonts w:ascii="Times New Roman" w:eastAsia="Times New Roman" w:hAnsi="Times New Roman" w:cs="Times New Roman"/>
          <w:sz w:val="24"/>
          <w:szCs w:val="24"/>
        </w:rPr>
        <w:t xml:space="preserve"> </w:t>
      </w:r>
      <w:proofErr w:type="spellStart"/>
      <w:r w:rsidR="005B11CE" w:rsidRPr="00B14ED8">
        <w:rPr>
          <w:rFonts w:ascii="Times New Roman" w:eastAsia="Times New Roman" w:hAnsi="Times New Roman" w:cs="Times New Roman"/>
          <w:sz w:val="24"/>
          <w:szCs w:val="24"/>
        </w:rPr>
        <w:t>kerja</w:t>
      </w:r>
      <w:proofErr w:type="spellEnd"/>
      <w:r w:rsidR="005B11CE" w:rsidRPr="00B14ED8">
        <w:rPr>
          <w:rFonts w:ascii="Times New Roman" w:eastAsia="Times New Roman" w:hAnsi="Times New Roman" w:cs="Times New Roman"/>
          <w:sz w:val="24"/>
          <w:szCs w:val="24"/>
        </w:rPr>
        <w:t xml:space="preserve"> </w:t>
      </w:r>
      <w:proofErr w:type="spellStart"/>
      <w:r w:rsidR="005B11CE" w:rsidRPr="00B14ED8">
        <w:rPr>
          <w:rFonts w:ascii="Times New Roman" w:eastAsia="Times New Roman" w:hAnsi="Times New Roman" w:cs="Times New Roman"/>
          <w:sz w:val="24"/>
          <w:szCs w:val="24"/>
        </w:rPr>
        <w:t>sama</w:t>
      </w:r>
      <w:proofErr w:type="spellEnd"/>
      <w:r w:rsidR="005B11CE" w:rsidRPr="00B14ED8">
        <w:rPr>
          <w:rFonts w:ascii="Times New Roman" w:eastAsia="Times New Roman" w:hAnsi="Times New Roman" w:cs="Times New Roman"/>
          <w:sz w:val="24"/>
          <w:szCs w:val="24"/>
        </w:rPr>
        <w:t xml:space="preserve"> PLS </w:t>
      </w:r>
      <w:proofErr w:type="spellStart"/>
      <w:r w:rsidR="005B11CE" w:rsidRPr="00B14ED8">
        <w:rPr>
          <w:rFonts w:ascii="Times New Roman" w:eastAsia="Times New Roman" w:hAnsi="Times New Roman" w:cs="Times New Roman"/>
          <w:sz w:val="24"/>
          <w:szCs w:val="24"/>
        </w:rPr>
        <w:t>dengan</w:t>
      </w:r>
      <w:proofErr w:type="spellEnd"/>
      <w:r w:rsidR="005B11CE" w:rsidRPr="00B14ED8">
        <w:rPr>
          <w:rFonts w:ascii="Times New Roman" w:eastAsia="Times New Roman" w:hAnsi="Times New Roman" w:cs="Times New Roman"/>
          <w:sz w:val="24"/>
          <w:szCs w:val="24"/>
        </w:rPr>
        <w:t xml:space="preserve"> </w:t>
      </w:r>
      <w:proofErr w:type="spellStart"/>
      <w:r w:rsidR="005B11CE" w:rsidRPr="00B14ED8">
        <w:rPr>
          <w:rFonts w:ascii="Times New Roman" w:eastAsia="Times New Roman" w:hAnsi="Times New Roman" w:cs="Times New Roman"/>
          <w:sz w:val="24"/>
          <w:szCs w:val="24"/>
        </w:rPr>
        <w:t>perbankan</w:t>
      </w:r>
      <w:proofErr w:type="spellEnd"/>
      <w:r w:rsidR="005B11CE" w:rsidRPr="00B14ED8">
        <w:rPr>
          <w:rFonts w:ascii="Times New Roman" w:eastAsia="Times New Roman" w:hAnsi="Times New Roman" w:cs="Times New Roman"/>
          <w:sz w:val="24"/>
          <w:szCs w:val="24"/>
        </w:rPr>
        <w:t xml:space="preserve"> </w:t>
      </w:r>
      <w:proofErr w:type="spellStart"/>
      <w:r w:rsidR="005B11CE" w:rsidRPr="00B14ED8">
        <w:rPr>
          <w:rFonts w:ascii="Times New Roman" w:eastAsia="Times New Roman" w:hAnsi="Times New Roman" w:cs="Times New Roman"/>
          <w:sz w:val="24"/>
          <w:szCs w:val="24"/>
        </w:rPr>
        <w:t>syariah</w:t>
      </w:r>
      <w:proofErr w:type="spellEnd"/>
      <w:r w:rsidR="005B11CE" w:rsidRPr="00B14ED8">
        <w:rPr>
          <w:rFonts w:ascii="Times New Roman" w:eastAsia="Times New Roman" w:hAnsi="Times New Roman" w:cs="Times New Roman"/>
          <w:sz w:val="24"/>
          <w:szCs w:val="24"/>
        </w:rPr>
        <w:t xml:space="preserve"> </w:t>
      </w:r>
      <w:proofErr w:type="spellStart"/>
      <w:r w:rsidR="005322EA" w:rsidRPr="00B14ED8">
        <w:rPr>
          <w:rFonts w:ascii="Times New Roman" w:eastAsia="Times New Roman" w:hAnsi="Times New Roman" w:cs="Times New Roman"/>
          <w:sz w:val="24"/>
          <w:szCs w:val="24"/>
        </w:rPr>
        <w:t>sehingga</w:t>
      </w:r>
      <w:proofErr w:type="spellEnd"/>
      <w:r w:rsidR="005322EA" w:rsidRPr="00B14ED8">
        <w:rPr>
          <w:rFonts w:ascii="Times New Roman" w:eastAsia="Times New Roman" w:hAnsi="Times New Roman" w:cs="Times New Roman"/>
          <w:sz w:val="24"/>
          <w:szCs w:val="24"/>
        </w:rPr>
        <w:t xml:space="preserve"> </w:t>
      </w:r>
      <w:proofErr w:type="spellStart"/>
      <w:r w:rsidR="005322EA" w:rsidRPr="00B14ED8">
        <w:rPr>
          <w:rFonts w:ascii="Times New Roman" w:eastAsia="Times New Roman" w:hAnsi="Times New Roman" w:cs="Times New Roman"/>
          <w:sz w:val="24"/>
          <w:szCs w:val="24"/>
        </w:rPr>
        <w:t>mendorong</w:t>
      </w:r>
      <w:proofErr w:type="spellEnd"/>
      <w:r w:rsidR="005322EA" w:rsidRPr="00B14ED8">
        <w:rPr>
          <w:rFonts w:ascii="Times New Roman" w:eastAsia="Times New Roman" w:hAnsi="Times New Roman" w:cs="Times New Roman"/>
          <w:sz w:val="24"/>
          <w:szCs w:val="24"/>
        </w:rPr>
        <w:t xml:space="preserve"> </w:t>
      </w:r>
      <w:proofErr w:type="spellStart"/>
      <w:r w:rsidR="005322EA" w:rsidRPr="00B14ED8">
        <w:rPr>
          <w:rFonts w:ascii="Times New Roman" w:eastAsia="Times New Roman" w:hAnsi="Times New Roman" w:cs="Times New Roman"/>
          <w:sz w:val="24"/>
          <w:szCs w:val="24"/>
        </w:rPr>
        <w:t>pertumbuhan</w:t>
      </w:r>
      <w:proofErr w:type="spellEnd"/>
      <w:r w:rsidR="005322EA" w:rsidRPr="00B14ED8">
        <w:rPr>
          <w:rFonts w:ascii="Times New Roman" w:eastAsia="Times New Roman" w:hAnsi="Times New Roman" w:cs="Times New Roman"/>
          <w:sz w:val="24"/>
          <w:szCs w:val="24"/>
        </w:rPr>
        <w:t xml:space="preserve"> </w:t>
      </w:r>
      <w:proofErr w:type="spellStart"/>
      <w:r w:rsidR="005322EA" w:rsidRPr="00B14ED8">
        <w:rPr>
          <w:rFonts w:ascii="Times New Roman" w:eastAsia="Times New Roman" w:hAnsi="Times New Roman" w:cs="Times New Roman"/>
          <w:sz w:val="24"/>
          <w:szCs w:val="24"/>
        </w:rPr>
        <w:t>ekonom</w:t>
      </w:r>
      <w:r w:rsidR="00BC2B8E" w:rsidRPr="00B14ED8">
        <w:rPr>
          <w:rFonts w:ascii="Times New Roman" w:eastAsia="Times New Roman" w:hAnsi="Times New Roman" w:cs="Times New Roman"/>
          <w:sz w:val="24"/>
          <w:szCs w:val="24"/>
        </w:rPr>
        <w:t>i</w:t>
      </w:r>
      <w:proofErr w:type="spellEnd"/>
      <w:r w:rsidR="00FE595B" w:rsidRPr="00B14ED8">
        <w:rPr>
          <w:rFonts w:ascii="Times New Roman" w:eastAsia="Times New Roman" w:hAnsi="Times New Roman" w:cs="Times New Roman"/>
          <w:sz w:val="24"/>
          <w:szCs w:val="24"/>
        </w:rPr>
        <w:t xml:space="preserve"> di </w:t>
      </w:r>
      <w:proofErr w:type="spellStart"/>
      <w:r w:rsidR="00FE595B" w:rsidRPr="00B14ED8">
        <w:rPr>
          <w:rFonts w:ascii="Times New Roman" w:eastAsia="Times New Roman" w:hAnsi="Times New Roman" w:cs="Times New Roman"/>
          <w:sz w:val="24"/>
          <w:szCs w:val="24"/>
        </w:rPr>
        <w:t>masyarakat</w:t>
      </w:r>
      <w:proofErr w:type="spellEnd"/>
      <w:r w:rsidR="00651CF0" w:rsidRPr="00B14ED8">
        <w:rPr>
          <w:rFonts w:ascii="Times New Roman" w:eastAsia="Times New Roman" w:hAnsi="Times New Roman" w:cs="Times New Roman"/>
          <w:sz w:val="24"/>
          <w:szCs w:val="24"/>
        </w:rPr>
        <w:fldChar w:fldCharType="begin" w:fldLock="1"/>
      </w:r>
      <w:r w:rsidR="00F727D4" w:rsidRPr="00B14ED8">
        <w:rPr>
          <w:rFonts w:ascii="Times New Roman" w:eastAsia="Times New Roman" w:hAnsi="Times New Roman" w:cs="Times New Roman"/>
          <w:sz w:val="24"/>
          <w:szCs w:val="24"/>
        </w:rPr>
        <w:instrText>ADDIN CSL_CITATION {"citationItems":[{"id":"ITEM-1","itemData":{"DOI":"10.1108/IJIF-05-2018-0052","ISSN":"22894365","abstract":"Purpose: The purpose of this paper is to investigate the relationship between Islamic banking and industrial production by decomposing Islamic financing (IF) into profit and loss sharing (PLS) and non-profit and loss sharing (non-PLS) modes of financing. Design/methodology/approach: This paper applies the autoregressive distributed lag (ARDL) approach and Toda and Yamamoto causality test on the monthly data set for Malaysia from 2010M1 to 2018M6. Findings: The results reveal that IF plays an important role in boosting industrial production in the short run, as well as in the long run. Moreover, this positive effect mainly comes from non-PLS financing. In contrast, no significant relationship was found between PLS financing and industrial development neither in the short run nor in the long run. Practical implications: The results have several policy implications. The existence of a time lag between the pooling of funds through PLS contracts and their channeling to industrial activities imply that Malaysian Islamic banks should maintain a long-term relationship with investment account holders. In addition, Islamic banks are called to increase the portion of PLS financing. The positive relationship between the industrial production index and IF (through non-PLS techniques) in the short and the long runs implies that policymakers in Malaysia should multiply their efforts to further expand the Islamic banking industry. Originality/value: The originality of this study lies in decomposing Islamic banks’ financing into PLS financing (muḍārabah and mushārakah) and non-PLS financing to assess the contribution of each mode of financing in industrial development.","author":[{"dropping-particle":"","family":"Bougatef","given":"Khemaies","non-dropping-particle":"","parse-names":false,"suffix":""},{"dropping-particle":"","family":"Nakhli","given":"Mohamed Sahbi","non-dropping-particle":"","parse-names":false,"suffix":""},{"dropping-particle":"","family":"Mnari","given":"Othman","non-dropping-particle":"","parse-names":false,"suffix":""}],"container-title":"ISRA International Journal of Islamic Finance","id":"ITEM-1","issue":"1","issued":{"date-parts":[["2020"]]},"page":"103-114","title":"The nexus between Islamic banking and industrial production: Empirical evidence from Malaysia","type":"article-journal","volume":"12"},"uris":["http://www.mendeley.com/documents/?uuid=4f35d1a6-d0a8-4916-a08a-cdd9facf6ed6"]}],"mendeley":{"formattedCitation":"(Bougatef et al., 2020)","plainTextFormattedCitation":"(Bougatef et al., 2020)","previouslyFormattedCitation":"(Bougatef et al., 2020)"},"properties":{"noteIndex":0},"schema":"https://github.com/citation-style-language/schema/raw/master/csl-citation.json"}</w:instrText>
      </w:r>
      <w:r w:rsidR="00651CF0" w:rsidRPr="00B14ED8">
        <w:rPr>
          <w:rFonts w:ascii="Times New Roman" w:eastAsia="Times New Roman" w:hAnsi="Times New Roman" w:cs="Times New Roman"/>
          <w:sz w:val="24"/>
          <w:szCs w:val="24"/>
        </w:rPr>
        <w:fldChar w:fldCharType="separate"/>
      </w:r>
      <w:r w:rsidR="00F727D4" w:rsidRPr="00B14ED8">
        <w:rPr>
          <w:rFonts w:ascii="Times New Roman" w:eastAsia="Times New Roman" w:hAnsi="Times New Roman" w:cs="Times New Roman"/>
          <w:noProof/>
          <w:sz w:val="24"/>
          <w:szCs w:val="24"/>
        </w:rPr>
        <w:t>(Bougatef et al., 2020)</w:t>
      </w:r>
      <w:r w:rsidR="00651CF0" w:rsidRPr="00B14ED8">
        <w:rPr>
          <w:rFonts w:ascii="Times New Roman" w:eastAsia="Times New Roman" w:hAnsi="Times New Roman" w:cs="Times New Roman"/>
          <w:sz w:val="24"/>
          <w:szCs w:val="24"/>
        </w:rPr>
        <w:fldChar w:fldCharType="end"/>
      </w:r>
      <w:r w:rsidR="009F1F89" w:rsidRPr="00B14ED8">
        <w:rPr>
          <w:rFonts w:ascii="Times New Roman" w:eastAsia="Times New Roman" w:hAnsi="Times New Roman" w:cs="Times New Roman"/>
          <w:sz w:val="24"/>
          <w:szCs w:val="24"/>
        </w:rPr>
        <w:t>.</w:t>
      </w:r>
      <w:r w:rsidR="00F9275E" w:rsidRPr="00B14ED8">
        <w:rPr>
          <w:rFonts w:ascii="Times New Roman" w:eastAsia="Times New Roman" w:hAnsi="Times New Roman" w:cs="Times New Roman"/>
          <w:sz w:val="24"/>
          <w:szCs w:val="24"/>
        </w:rPr>
        <w:t xml:space="preserve"> </w:t>
      </w:r>
      <w:proofErr w:type="spellStart"/>
      <w:r w:rsidR="00F9275E" w:rsidRPr="00B14ED8">
        <w:rPr>
          <w:rFonts w:ascii="Times New Roman" w:eastAsia="Times New Roman" w:hAnsi="Times New Roman" w:cs="Times New Roman"/>
          <w:sz w:val="24"/>
          <w:szCs w:val="24"/>
        </w:rPr>
        <w:t>Meskipun</w:t>
      </w:r>
      <w:proofErr w:type="spellEnd"/>
      <w:r w:rsidR="00F9275E" w:rsidRPr="00B14ED8">
        <w:rPr>
          <w:rFonts w:ascii="Times New Roman" w:eastAsia="Times New Roman" w:hAnsi="Times New Roman" w:cs="Times New Roman"/>
          <w:sz w:val="24"/>
          <w:szCs w:val="24"/>
        </w:rPr>
        <w:t xml:space="preserve"> </w:t>
      </w:r>
      <w:proofErr w:type="spellStart"/>
      <w:r w:rsidR="00F9275E" w:rsidRPr="00B14ED8">
        <w:rPr>
          <w:rFonts w:ascii="Times New Roman" w:eastAsia="Times New Roman" w:hAnsi="Times New Roman" w:cs="Times New Roman"/>
          <w:sz w:val="24"/>
          <w:szCs w:val="24"/>
        </w:rPr>
        <w:t>demikian</w:t>
      </w:r>
      <w:proofErr w:type="spellEnd"/>
      <w:r w:rsidR="00F9275E" w:rsidRPr="00B14ED8">
        <w:rPr>
          <w:rFonts w:ascii="Times New Roman" w:eastAsia="Times New Roman" w:hAnsi="Times New Roman" w:cs="Times New Roman"/>
          <w:sz w:val="24"/>
          <w:szCs w:val="24"/>
        </w:rPr>
        <w:t xml:space="preserve"> di </w:t>
      </w:r>
      <w:proofErr w:type="spellStart"/>
      <w:r w:rsidR="00F9275E" w:rsidRPr="00B14ED8">
        <w:rPr>
          <w:rFonts w:ascii="Times New Roman" w:eastAsia="Times New Roman" w:hAnsi="Times New Roman" w:cs="Times New Roman"/>
          <w:sz w:val="24"/>
          <w:szCs w:val="24"/>
        </w:rPr>
        <w:t>dalam</w:t>
      </w:r>
      <w:proofErr w:type="spellEnd"/>
      <w:r w:rsidR="00F9275E" w:rsidRPr="00B14ED8">
        <w:rPr>
          <w:rFonts w:ascii="Times New Roman" w:eastAsia="Times New Roman" w:hAnsi="Times New Roman" w:cs="Times New Roman"/>
          <w:sz w:val="24"/>
          <w:szCs w:val="24"/>
        </w:rPr>
        <w:t xml:space="preserve"> </w:t>
      </w:r>
      <w:proofErr w:type="spellStart"/>
      <w:r w:rsidR="00403C55" w:rsidRPr="00B14ED8">
        <w:rPr>
          <w:rFonts w:ascii="Times New Roman" w:eastAsia="Times New Roman" w:hAnsi="Times New Roman" w:cs="Times New Roman"/>
          <w:sz w:val="24"/>
          <w:szCs w:val="24"/>
        </w:rPr>
        <w:t>penerapan</w:t>
      </w:r>
      <w:proofErr w:type="spellEnd"/>
      <w:r w:rsidR="00403C55" w:rsidRPr="00B14ED8">
        <w:rPr>
          <w:rFonts w:ascii="Times New Roman" w:eastAsia="Times New Roman" w:hAnsi="Times New Roman" w:cs="Times New Roman"/>
          <w:sz w:val="24"/>
          <w:szCs w:val="24"/>
        </w:rPr>
        <w:t xml:space="preserve"> di </w:t>
      </w:r>
      <w:proofErr w:type="spellStart"/>
      <w:r w:rsidR="00403C55" w:rsidRPr="00B14ED8">
        <w:rPr>
          <w:rFonts w:ascii="Times New Roman" w:eastAsia="Times New Roman" w:hAnsi="Times New Roman" w:cs="Times New Roman"/>
          <w:sz w:val="24"/>
          <w:szCs w:val="24"/>
        </w:rPr>
        <w:t>lapangan</w:t>
      </w:r>
      <w:proofErr w:type="spellEnd"/>
      <w:r w:rsidR="00FA799C" w:rsidRPr="00B14ED8">
        <w:rPr>
          <w:rFonts w:ascii="Times New Roman" w:eastAsia="Times New Roman" w:hAnsi="Times New Roman" w:cs="Times New Roman"/>
          <w:sz w:val="24"/>
          <w:szCs w:val="24"/>
        </w:rPr>
        <w:t xml:space="preserve"> </w:t>
      </w:r>
      <w:proofErr w:type="spellStart"/>
      <w:r w:rsidR="00FA799C" w:rsidRPr="00B14ED8">
        <w:rPr>
          <w:rFonts w:ascii="Times New Roman" w:eastAsia="Times New Roman" w:hAnsi="Times New Roman" w:cs="Times New Roman"/>
          <w:sz w:val="24"/>
          <w:szCs w:val="24"/>
        </w:rPr>
        <w:t>khususnya</w:t>
      </w:r>
      <w:proofErr w:type="spellEnd"/>
      <w:r w:rsidR="00FA799C" w:rsidRPr="00B14ED8">
        <w:rPr>
          <w:rFonts w:ascii="Times New Roman" w:eastAsia="Times New Roman" w:hAnsi="Times New Roman" w:cs="Times New Roman"/>
          <w:sz w:val="24"/>
          <w:szCs w:val="24"/>
        </w:rPr>
        <w:t xml:space="preserve"> di Indonesia</w:t>
      </w:r>
      <w:r w:rsidR="00403C55" w:rsidRPr="00B14ED8">
        <w:rPr>
          <w:rFonts w:ascii="Times New Roman" w:eastAsia="Times New Roman" w:hAnsi="Times New Roman" w:cs="Times New Roman"/>
          <w:sz w:val="24"/>
          <w:szCs w:val="24"/>
        </w:rPr>
        <w:t xml:space="preserve">, </w:t>
      </w:r>
      <w:proofErr w:type="spellStart"/>
      <w:r w:rsidR="00403C55" w:rsidRPr="00B14ED8">
        <w:rPr>
          <w:rFonts w:ascii="Times New Roman" w:eastAsia="Times New Roman" w:hAnsi="Times New Roman" w:cs="Times New Roman"/>
          <w:sz w:val="24"/>
          <w:szCs w:val="24"/>
        </w:rPr>
        <w:t>sistem</w:t>
      </w:r>
      <w:proofErr w:type="spellEnd"/>
      <w:r w:rsidR="00403C55" w:rsidRPr="00B14ED8">
        <w:rPr>
          <w:rFonts w:ascii="Times New Roman" w:eastAsia="Times New Roman" w:hAnsi="Times New Roman" w:cs="Times New Roman"/>
          <w:sz w:val="24"/>
          <w:szCs w:val="24"/>
        </w:rPr>
        <w:t xml:space="preserve"> </w:t>
      </w:r>
      <w:proofErr w:type="spellStart"/>
      <w:r w:rsidR="00403C55" w:rsidRPr="00B14ED8">
        <w:rPr>
          <w:rFonts w:ascii="Times New Roman" w:eastAsia="Times New Roman" w:hAnsi="Times New Roman" w:cs="Times New Roman"/>
          <w:sz w:val="24"/>
          <w:szCs w:val="24"/>
        </w:rPr>
        <w:t>bagi</w:t>
      </w:r>
      <w:proofErr w:type="spellEnd"/>
      <w:r w:rsidR="00403C55" w:rsidRPr="00B14ED8">
        <w:rPr>
          <w:rFonts w:ascii="Times New Roman" w:eastAsia="Times New Roman" w:hAnsi="Times New Roman" w:cs="Times New Roman"/>
          <w:sz w:val="24"/>
          <w:szCs w:val="24"/>
        </w:rPr>
        <w:t xml:space="preserve"> </w:t>
      </w:r>
      <w:proofErr w:type="spellStart"/>
      <w:r w:rsidR="00403C55" w:rsidRPr="00B14ED8">
        <w:rPr>
          <w:rFonts w:ascii="Times New Roman" w:eastAsia="Times New Roman" w:hAnsi="Times New Roman" w:cs="Times New Roman"/>
          <w:sz w:val="24"/>
          <w:szCs w:val="24"/>
        </w:rPr>
        <w:t>hasil</w:t>
      </w:r>
      <w:proofErr w:type="spellEnd"/>
      <w:r w:rsidR="009239AD" w:rsidRPr="00B14ED8">
        <w:rPr>
          <w:rFonts w:ascii="Times New Roman" w:eastAsia="Times New Roman" w:hAnsi="Times New Roman" w:cs="Times New Roman"/>
          <w:sz w:val="24"/>
          <w:szCs w:val="24"/>
        </w:rPr>
        <w:t xml:space="preserve"> </w:t>
      </w:r>
      <w:proofErr w:type="spellStart"/>
      <w:r w:rsidR="009239AD" w:rsidRPr="00B14ED8">
        <w:rPr>
          <w:rFonts w:ascii="Times New Roman" w:eastAsia="Times New Roman" w:hAnsi="Times New Roman" w:cs="Times New Roman"/>
          <w:sz w:val="24"/>
          <w:szCs w:val="24"/>
        </w:rPr>
        <w:t>khususnya</w:t>
      </w:r>
      <w:proofErr w:type="spellEnd"/>
      <w:r w:rsidR="009239AD" w:rsidRPr="00B14ED8">
        <w:rPr>
          <w:rFonts w:ascii="Times New Roman" w:eastAsia="Times New Roman" w:hAnsi="Times New Roman" w:cs="Times New Roman"/>
          <w:sz w:val="24"/>
          <w:szCs w:val="24"/>
        </w:rPr>
        <w:t xml:space="preserve"> </w:t>
      </w:r>
      <w:proofErr w:type="spellStart"/>
      <w:r w:rsidR="009239AD" w:rsidRPr="00B14ED8">
        <w:rPr>
          <w:rFonts w:ascii="Times New Roman" w:eastAsia="Times New Roman" w:hAnsi="Times New Roman" w:cs="Times New Roman"/>
          <w:i/>
          <w:iCs/>
          <w:sz w:val="24"/>
          <w:szCs w:val="24"/>
        </w:rPr>
        <w:t>mudharabah</w:t>
      </w:r>
      <w:proofErr w:type="spellEnd"/>
      <w:r w:rsidR="00403C55" w:rsidRPr="00B14ED8">
        <w:rPr>
          <w:rFonts w:ascii="Times New Roman" w:eastAsia="Times New Roman" w:hAnsi="Times New Roman" w:cs="Times New Roman"/>
          <w:sz w:val="24"/>
          <w:szCs w:val="24"/>
        </w:rPr>
        <w:t xml:space="preserve"> </w:t>
      </w:r>
      <w:proofErr w:type="spellStart"/>
      <w:r w:rsidR="001D2407" w:rsidRPr="00B14ED8">
        <w:rPr>
          <w:rFonts w:ascii="Times New Roman" w:eastAsia="Times New Roman" w:hAnsi="Times New Roman" w:cs="Times New Roman"/>
          <w:sz w:val="24"/>
          <w:szCs w:val="24"/>
        </w:rPr>
        <w:t>dianggap</w:t>
      </w:r>
      <w:proofErr w:type="spellEnd"/>
      <w:r w:rsidR="001D2407" w:rsidRPr="00B14ED8">
        <w:rPr>
          <w:rFonts w:ascii="Times New Roman" w:eastAsia="Times New Roman" w:hAnsi="Times New Roman" w:cs="Times New Roman"/>
          <w:sz w:val="24"/>
          <w:szCs w:val="24"/>
        </w:rPr>
        <w:t xml:space="preserve"> </w:t>
      </w:r>
      <w:proofErr w:type="spellStart"/>
      <w:r w:rsidR="001D2407" w:rsidRPr="00B14ED8">
        <w:rPr>
          <w:rFonts w:ascii="Times New Roman" w:eastAsia="Times New Roman" w:hAnsi="Times New Roman" w:cs="Times New Roman"/>
          <w:sz w:val="24"/>
          <w:szCs w:val="24"/>
        </w:rPr>
        <w:t>sebagai</w:t>
      </w:r>
      <w:proofErr w:type="spellEnd"/>
      <w:r w:rsidR="001D2407" w:rsidRPr="00B14ED8">
        <w:rPr>
          <w:rFonts w:ascii="Times New Roman" w:eastAsia="Times New Roman" w:hAnsi="Times New Roman" w:cs="Times New Roman"/>
          <w:sz w:val="24"/>
          <w:szCs w:val="24"/>
        </w:rPr>
        <w:t xml:space="preserve"> </w:t>
      </w:r>
      <w:proofErr w:type="spellStart"/>
      <w:r w:rsidR="001D2407" w:rsidRPr="00B14ED8">
        <w:rPr>
          <w:rFonts w:ascii="Times New Roman" w:eastAsia="Times New Roman" w:hAnsi="Times New Roman" w:cs="Times New Roman"/>
          <w:sz w:val="24"/>
          <w:szCs w:val="24"/>
        </w:rPr>
        <w:t>pembiayaan</w:t>
      </w:r>
      <w:proofErr w:type="spellEnd"/>
      <w:r w:rsidR="009B76FB" w:rsidRPr="00B14ED8">
        <w:rPr>
          <w:rFonts w:ascii="Times New Roman" w:eastAsia="Times New Roman" w:hAnsi="Times New Roman" w:cs="Times New Roman"/>
          <w:sz w:val="24"/>
          <w:szCs w:val="24"/>
        </w:rPr>
        <w:t xml:space="preserve"> </w:t>
      </w:r>
      <w:proofErr w:type="spellStart"/>
      <w:r w:rsidR="009B76FB" w:rsidRPr="00B14ED8">
        <w:rPr>
          <w:rFonts w:ascii="Times New Roman" w:eastAsia="Times New Roman" w:hAnsi="Times New Roman" w:cs="Times New Roman"/>
          <w:sz w:val="24"/>
          <w:szCs w:val="24"/>
        </w:rPr>
        <w:t>syariah</w:t>
      </w:r>
      <w:proofErr w:type="spellEnd"/>
      <w:r w:rsidR="001D2407" w:rsidRPr="00B14ED8">
        <w:rPr>
          <w:rFonts w:ascii="Times New Roman" w:eastAsia="Times New Roman" w:hAnsi="Times New Roman" w:cs="Times New Roman"/>
          <w:sz w:val="24"/>
          <w:szCs w:val="24"/>
        </w:rPr>
        <w:t xml:space="preserve"> </w:t>
      </w:r>
      <w:proofErr w:type="spellStart"/>
      <w:r w:rsidR="001D2407" w:rsidRPr="00B14ED8">
        <w:rPr>
          <w:rFonts w:ascii="Times New Roman" w:eastAsia="Times New Roman" w:hAnsi="Times New Roman" w:cs="Times New Roman"/>
          <w:sz w:val="24"/>
          <w:szCs w:val="24"/>
        </w:rPr>
        <w:t>berisiko</w:t>
      </w:r>
      <w:proofErr w:type="spellEnd"/>
      <w:r w:rsidR="001D2407" w:rsidRPr="00B14ED8">
        <w:rPr>
          <w:rFonts w:ascii="Times New Roman" w:eastAsia="Times New Roman" w:hAnsi="Times New Roman" w:cs="Times New Roman"/>
          <w:sz w:val="24"/>
          <w:szCs w:val="24"/>
        </w:rPr>
        <w:t xml:space="preserve"> </w:t>
      </w:r>
      <w:proofErr w:type="spellStart"/>
      <w:r w:rsidR="001D2407" w:rsidRPr="00B14ED8">
        <w:rPr>
          <w:rFonts w:ascii="Times New Roman" w:eastAsia="Times New Roman" w:hAnsi="Times New Roman" w:cs="Times New Roman"/>
          <w:sz w:val="24"/>
          <w:szCs w:val="24"/>
        </w:rPr>
        <w:t>tinggi</w:t>
      </w:r>
      <w:proofErr w:type="spellEnd"/>
      <w:r w:rsidR="00FF5473" w:rsidRPr="00B14ED8">
        <w:rPr>
          <w:rFonts w:ascii="Times New Roman" w:eastAsia="Times New Roman" w:hAnsi="Times New Roman" w:cs="Times New Roman"/>
          <w:sz w:val="24"/>
          <w:szCs w:val="24"/>
        </w:rPr>
        <w:t xml:space="preserve"> dan </w:t>
      </w:r>
      <w:proofErr w:type="spellStart"/>
      <w:r w:rsidR="001D2407" w:rsidRPr="00B14ED8">
        <w:rPr>
          <w:rFonts w:ascii="Times New Roman" w:eastAsia="Times New Roman" w:hAnsi="Times New Roman" w:cs="Times New Roman"/>
          <w:sz w:val="24"/>
          <w:szCs w:val="24"/>
        </w:rPr>
        <w:t>sering</w:t>
      </w:r>
      <w:proofErr w:type="spellEnd"/>
      <w:r w:rsidR="001D2407" w:rsidRPr="00B14ED8">
        <w:rPr>
          <w:rFonts w:ascii="Times New Roman" w:eastAsia="Times New Roman" w:hAnsi="Times New Roman" w:cs="Times New Roman"/>
          <w:sz w:val="24"/>
          <w:szCs w:val="24"/>
        </w:rPr>
        <w:t xml:space="preserve"> </w:t>
      </w:r>
      <w:proofErr w:type="spellStart"/>
      <w:r w:rsidR="00045007" w:rsidRPr="00B14ED8">
        <w:rPr>
          <w:rFonts w:ascii="Times New Roman" w:eastAsia="Times New Roman" w:hAnsi="Times New Roman" w:cs="Times New Roman"/>
          <w:sz w:val="24"/>
          <w:szCs w:val="24"/>
        </w:rPr>
        <w:t>mengalami</w:t>
      </w:r>
      <w:proofErr w:type="spellEnd"/>
      <w:r w:rsidR="00045007" w:rsidRPr="00B14ED8">
        <w:rPr>
          <w:rFonts w:ascii="Times New Roman" w:eastAsia="Times New Roman" w:hAnsi="Times New Roman" w:cs="Times New Roman"/>
          <w:sz w:val="24"/>
          <w:szCs w:val="24"/>
        </w:rPr>
        <w:t xml:space="preserve"> </w:t>
      </w:r>
      <w:proofErr w:type="spellStart"/>
      <w:r w:rsidR="00045007" w:rsidRPr="00B14ED8">
        <w:rPr>
          <w:rFonts w:ascii="Times New Roman" w:eastAsia="Times New Roman" w:hAnsi="Times New Roman" w:cs="Times New Roman"/>
          <w:sz w:val="24"/>
          <w:szCs w:val="24"/>
        </w:rPr>
        <w:t>berbagai</w:t>
      </w:r>
      <w:proofErr w:type="spellEnd"/>
      <w:r w:rsidR="00045007" w:rsidRPr="00B14ED8">
        <w:rPr>
          <w:rFonts w:ascii="Times New Roman" w:eastAsia="Times New Roman" w:hAnsi="Times New Roman" w:cs="Times New Roman"/>
          <w:sz w:val="24"/>
          <w:szCs w:val="24"/>
        </w:rPr>
        <w:t xml:space="preserve"> </w:t>
      </w:r>
      <w:proofErr w:type="spellStart"/>
      <w:r w:rsidR="00045007" w:rsidRPr="00B14ED8">
        <w:rPr>
          <w:rFonts w:ascii="Times New Roman" w:eastAsia="Times New Roman" w:hAnsi="Times New Roman" w:cs="Times New Roman"/>
          <w:sz w:val="24"/>
          <w:szCs w:val="24"/>
        </w:rPr>
        <w:t>permasalahan</w:t>
      </w:r>
      <w:proofErr w:type="spellEnd"/>
      <w:r w:rsidR="00045007" w:rsidRPr="00B14ED8">
        <w:rPr>
          <w:rFonts w:ascii="Times New Roman" w:eastAsia="Times New Roman" w:hAnsi="Times New Roman" w:cs="Times New Roman"/>
          <w:sz w:val="24"/>
          <w:szCs w:val="24"/>
        </w:rPr>
        <w:t xml:space="preserve"> </w:t>
      </w:r>
      <w:proofErr w:type="spellStart"/>
      <w:r w:rsidR="00045007" w:rsidRPr="00B14ED8">
        <w:rPr>
          <w:rFonts w:ascii="Times New Roman" w:eastAsia="Times New Roman" w:hAnsi="Times New Roman" w:cs="Times New Roman"/>
          <w:sz w:val="24"/>
          <w:szCs w:val="24"/>
        </w:rPr>
        <w:t>manajemen</w:t>
      </w:r>
      <w:proofErr w:type="spellEnd"/>
      <w:r w:rsidR="00045007" w:rsidRPr="00B14ED8">
        <w:rPr>
          <w:rFonts w:ascii="Times New Roman" w:eastAsia="Times New Roman" w:hAnsi="Times New Roman" w:cs="Times New Roman"/>
          <w:sz w:val="24"/>
          <w:szCs w:val="24"/>
        </w:rPr>
        <w:t xml:space="preserve"> yang </w:t>
      </w:r>
      <w:proofErr w:type="spellStart"/>
      <w:r w:rsidR="00045007" w:rsidRPr="00B14ED8">
        <w:rPr>
          <w:rFonts w:ascii="Times New Roman" w:eastAsia="Times New Roman" w:hAnsi="Times New Roman" w:cs="Times New Roman"/>
          <w:sz w:val="24"/>
          <w:szCs w:val="24"/>
        </w:rPr>
        <w:t>mengakibatkan</w:t>
      </w:r>
      <w:proofErr w:type="spellEnd"/>
      <w:r w:rsidR="00045007" w:rsidRPr="00B14ED8">
        <w:rPr>
          <w:rFonts w:ascii="Times New Roman" w:eastAsia="Times New Roman" w:hAnsi="Times New Roman" w:cs="Times New Roman"/>
          <w:sz w:val="24"/>
          <w:szCs w:val="24"/>
        </w:rPr>
        <w:t xml:space="preserve"> </w:t>
      </w:r>
      <w:proofErr w:type="spellStart"/>
      <w:r w:rsidR="00045007" w:rsidRPr="00B14ED8">
        <w:rPr>
          <w:rFonts w:ascii="Times New Roman" w:eastAsia="Times New Roman" w:hAnsi="Times New Roman" w:cs="Times New Roman"/>
          <w:sz w:val="24"/>
          <w:szCs w:val="24"/>
        </w:rPr>
        <w:t>pengelolaannya</w:t>
      </w:r>
      <w:proofErr w:type="spellEnd"/>
      <w:r w:rsidR="00045007" w:rsidRPr="00B14ED8">
        <w:rPr>
          <w:rFonts w:ascii="Times New Roman" w:eastAsia="Times New Roman" w:hAnsi="Times New Roman" w:cs="Times New Roman"/>
          <w:sz w:val="24"/>
          <w:szCs w:val="24"/>
        </w:rPr>
        <w:t xml:space="preserve"> </w:t>
      </w:r>
      <w:proofErr w:type="spellStart"/>
      <w:r w:rsidR="00045007" w:rsidRPr="00B14ED8">
        <w:rPr>
          <w:rFonts w:ascii="Times New Roman" w:eastAsia="Times New Roman" w:hAnsi="Times New Roman" w:cs="Times New Roman"/>
          <w:sz w:val="24"/>
          <w:szCs w:val="24"/>
        </w:rPr>
        <w:t>tidak</w:t>
      </w:r>
      <w:proofErr w:type="spellEnd"/>
      <w:r w:rsidR="00045007" w:rsidRPr="00B14ED8">
        <w:rPr>
          <w:rFonts w:ascii="Times New Roman" w:eastAsia="Times New Roman" w:hAnsi="Times New Roman" w:cs="Times New Roman"/>
          <w:sz w:val="24"/>
          <w:szCs w:val="24"/>
        </w:rPr>
        <w:t xml:space="preserve"> </w:t>
      </w:r>
      <w:proofErr w:type="spellStart"/>
      <w:r w:rsidR="00045007" w:rsidRPr="00B14ED8">
        <w:rPr>
          <w:rFonts w:ascii="Times New Roman" w:eastAsia="Times New Roman" w:hAnsi="Times New Roman" w:cs="Times New Roman"/>
          <w:sz w:val="24"/>
          <w:szCs w:val="24"/>
        </w:rPr>
        <w:t>mampu</w:t>
      </w:r>
      <w:proofErr w:type="spellEnd"/>
      <w:r w:rsidR="00045007" w:rsidRPr="00B14ED8">
        <w:rPr>
          <w:rFonts w:ascii="Times New Roman" w:eastAsia="Times New Roman" w:hAnsi="Times New Roman" w:cs="Times New Roman"/>
          <w:sz w:val="24"/>
          <w:szCs w:val="24"/>
        </w:rPr>
        <w:t xml:space="preserve"> </w:t>
      </w:r>
      <w:proofErr w:type="spellStart"/>
      <w:r w:rsidR="002E1869" w:rsidRPr="00B14ED8">
        <w:rPr>
          <w:rFonts w:ascii="Times New Roman" w:eastAsia="Times New Roman" w:hAnsi="Times New Roman" w:cs="Times New Roman"/>
          <w:sz w:val="24"/>
          <w:szCs w:val="24"/>
        </w:rPr>
        <w:t>menghasilkan</w:t>
      </w:r>
      <w:proofErr w:type="spellEnd"/>
      <w:r w:rsidR="002E1869" w:rsidRPr="00B14ED8">
        <w:rPr>
          <w:rFonts w:ascii="Times New Roman" w:eastAsia="Times New Roman" w:hAnsi="Times New Roman" w:cs="Times New Roman"/>
          <w:sz w:val="24"/>
          <w:szCs w:val="24"/>
        </w:rPr>
        <w:t xml:space="preserve"> </w:t>
      </w:r>
      <w:proofErr w:type="spellStart"/>
      <w:r w:rsidR="00A31EA9" w:rsidRPr="00B14ED8">
        <w:rPr>
          <w:rFonts w:ascii="Times New Roman" w:eastAsia="Times New Roman" w:hAnsi="Times New Roman" w:cs="Times New Roman"/>
          <w:sz w:val="24"/>
          <w:szCs w:val="24"/>
        </w:rPr>
        <w:t>nilai</w:t>
      </w:r>
      <w:proofErr w:type="spellEnd"/>
      <w:r w:rsidR="00A31EA9" w:rsidRPr="00B14ED8">
        <w:rPr>
          <w:rFonts w:ascii="Times New Roman" w:eastAsia="Times New Roman" w:hAnsi="Times New Roman" w:cs="Times New Roman"/>
          <w:sz w:val="24"/>
          <w:szCs w:val="24"/>
        </w:rPr>
        <w:t xml:space="preserve"> yang </w:t>
      </w:r>
      <w:proofErr w:type="spellStart"/>
      <w:r w:rsidR="00A31EA9" w:rsidRPr="00B14ED8">
        <w:rPr>
          <w:rFonts w:ascii="Times New Roman" w:eastAsia="Times New Roman" w:hAnsi="Times New Roman" w:cs="Times New Roman"/>
          <w:sz w:val="24"/>
          <w:szCs w:val="24"/>
        </w:rPr>
        <w:t>diharapkan</w:t>
      </w:r>
      <w:proofErr w:type="spellEnd"/>
      <w:r w:rsidR="005F6F17" w:rsidRPr="00B14ED8">
        <w:rPr>
          <w:rFonts w:ascii="Times New Roman" w:eastAsia="Times New Roman" w:hAnsi="Times New Roman" w:cs="Times New Roman"/>
          <w:sz w:val="24"/>
          <w:szCs w:val="24"/>
        </w:rPr>
        <w:fldChar w:fldCharType="begin" w:fldLock="1"/>
      </w:r>
      <w:r w:rsidR="00A75248" w:rsidRPr="00B14ED8">
        <w:rPr>
          <w:rFonts w:ascii="Times New Roman" w:eastAsia="Times New Roman" w:hAnsi="Times New Roman" w:cs="Times New Roman"/>
          <w:sz w:val="24"/>
          <w:szCs w:val="24"/>
        </w:rPr>
        <w:instrText>ADDIN CSL_CITATION {"citationItems":[{"id":"ITEM-1","itemData":{"DOI":"10.1108/QRFM-03-2020-0024","author":[{"dropping-particle":"","family":"Ishak","given":"Muhammad Shahrul Ifwat","non-dropping-particle":"","parse-names":false,"suffix":""},{"dropping-particle":"","family":"Rahman","given":"Md Habibur","non-dropping-particle":"","parse-names":false,"suffix":""}],"container-title":"Qualitative Research in Financial Markets","id":"ITEM-1","issue":"2","issued":{"date-parts":[["2022"]]},"page":"183 - 196","title":"Equity-based Islamic crowdfunding in Malaysia : a potential application for mudharabah","type":"article-journal","volume":"13"},"uris":["http://www.mendeley.com/documents/?uuid=e2d51efc-a8ab-4bdb-8c10-922407edd75c"]}],"mendeley":{"formattedCitation":"(Ishak &amp; Rahman, 2022)","plainTextFormattedCitation":"(Ishak &amp; Rahman, 2022)","previouslyFormattedCitation":"(Ishak &amp; Rahman, 2022)"},"properties":{"noteIndex":0},"schema":"https://github.com/citation-style-language/schema/raw/master/csl-citation.json"}</w:instrText>
      </w:r>
      <w:r w:rsidR="005F6F17" w:rsidRPr="00B14ED8">
        <w:rPr>
          <w:rFonts w:ascii="Times New Roman" w:eastAsia="Times New Roman" w:hAnsi="Times New Roman" w:cs="Times New Roman"/>
          <w:sz w:val="24"/>
          <w:szCs w:val="24"/>
        </w:rPr>
        <w:fldChar w:fldCharType="separate"/>
      </w:r>
      <w:r w:rsidR="005F6F17" w:rsidRPr="00B14ED8">
        <w:rPr>
          <w:rFonts w:ascii="Times New Roman" w:eastAsia="Times New Roman" w:hAnsi="Times New Roman" w:cs="Times New Roman"/>
          <w:noProof/>
          <w:sz w:val="24"/>
          <w:szCs w:val="24"/>
        </w:rPr>
        <w:t>(Ishak &amp; Rahman, 2022)</w:t>
      </w:r>
      <w:r w:rsidR="005F6F17" w:rsidRPr="00B14ED8">
        <w:rPr>
          <w:rFonts w:ascii="Times New Roman" w:eastAsia="Times New Roman" w:hAnsi="Times New Roman" w:cs="Times New Roman"/>
          <w:sz w:val="24"/>
          <w:szCs w:val="24"/>
        </w:rPr>
        <w:fldChar w:fldCharType="end"/>
      </w:r>
      <w:r w:rsidR="00141C6E" w:rsidRPr="00B14ED8">
        <w:rPr>
          <w:rFonts w:ascii="Times New Roman" w:eastAsia="Times New Roman" w:hAnsi="Times New Roman" w:cs="Times New Roman"/>
          <w:sz w:val="24"/>
          <w:szCs w:val="24"/>
        </w:rPr>
        <w:t>.</w:t>
      </w:r>
      <w:r w:rsidR="009D4792" w:rsidRPr="00B14ED8">
        <w:rPr>
          <w:rFonts w:ascii="Times New Roman" w:eastAsia="Times New Roman" w:hAnsi="Times New Roman" w:cs="Times New Roman"/>
          <w:sz w:val="24"/>
          <w:szCs w:val="24"/>
        </w:rPr>
        <w:t xml:space="preserve"> </w:t>
      </w:r>
      <w:r w:rsidR="00141C6E" w:rsidRPr="00B14ED8">
        <w:rPr>
          <w:rFonts w:ascii="Times New Roman" w:eastAsia="Times New Roman" w:hAnsi="Times New Roman" w:cs="Times New Roman"/>
          <w:sz w:val="24"/>
          <w:szCs w:val="24"/>
        </w:rPr>
        <w:t>H</w:t>
      </w:r>
      <w:r w:rsidR="00F41105" w:rsidRPr="00B14ED8">
        <w:rPr>
          <w:rFonts w:ascii="Times New Roman" w:eastAsia="Times New Roman" w:hAnsi="Times New Roman" w:cs="Times New Roman"/>
          <w:sz w:val="24"/>
          <w:szCs w:val="24"/>
        </w:rPr>
        <w:t xml:space="preserve">al </w:t>
      </w:r>
      <w:proofErr w:type="spellStart"/>
      <w:r w:rsidR="00141C6E" w:rsidRPr="00B14ED8">
        <w:rPr>
          <w:rFonts w:ascii="Times New Roman" w:eastAsia="Times New Roman" w:hAnsi="Times New Roman" w:cs="Times New Roman"/>
          <w:sz w:val="24"/>
          <w:szCs w:val="24"/>
        </w:rPr>
        <w:t>ini</w:t>
      </w:r>
      <w:proofErr w:type="spellEnd"/>
      <w:r w:rsidR="00141C6E" w:rsidRPr="00B14ED8">
        <w:rPr>
          <w:rFonts w:ascii="Times New Roman" w:eastAsia="Times New Roman" w:hAnsi="Times New Roman" w:cs="Times New Roman"/>
          <w:sz w:val="24"/>
          <w:szCs w:val="24"/>
        </w:rPr>
        <w:t xml:space="preserve"> </w:t>
      </w:r>
      <w:proofErr w:type="spellStart"/>
      <w:r w:rsidR="005F6F17" w:rsidRPr="00B14ED8">
        <w:rPr>
          <w:rFonts w:ascii="Times New Roman" w:eastAsia="Times New Roman" w:hAnsi="Times New Roman" w:cs="Times New Roman"/>
          <w:sz w:val="24"/>
          <w:szCs w:val="24"/>
        </w:rPr>
        <w:t>diperkuat</w:t>
      </w:r>
      <w:proofErr w:type="spellEnd"/>
      <w:r w:rsidR="005F6F17" w:rsidRPr="00B14ED8">
        <w:rPr>
          <w:rFonts w:ascii="Times New Roman" w:eastAsia="Times New Roman" w:hAnsi="Times New Roman" w:cs="Times New Roman"/>
          <w:sz w:val="24"/>
          <w:szCs w:val="24"/>
        </w:rPr>
        <w:t xml:space="preserve"> </w:t>
      </w:r>
      <w:proofErr w:type="spellStart"/>
      <w:r w:rsidR="005F6F17" w:rsidRPr="00B14ED8">
        <w:rPr>
          <w:rFonts w:ascii="Times New Roman" w:eastAsia="Times New Roman" w:hAnsi="Times New Roman" w:cs="Times New Roman"/>
          <w:sz w:val="24"/>
          <w:szCs w:val="24"/>
        </w:rPr>
        <w:t>dengan</w:t>
      </w:r>
      <w:proofErr w:type="spellEnd"/>
      <w:r w:rsidR="005F6F17" w:rsidRPr="00B14ED8">
        <w:rPr>
          <w:rFonts w:ascii="Times New Roman" w:eastAsia="Times New Roman" w:hAnsi="Times New Roman" w:cs="Times New Roman"/>
          <w:sz w:val="24"/>
          <w:szCs w:val="24"/>
        </w:rPr>
        <w:t xml:space="preserve"> </w:t>
      </w:r>
      <w:proofErr w:type="spellStart"/>
      <w:r w:rsidR="005F6F17" w:rsidRPr="00B14ED8">
        <w:rPr>
          <w:rFonts w:ascii="Times New Roman" w:eastAsia="Times New Roman" w:hAnsi="Times New Roman" w:cs="Times New Roman"/>
          <w:sz w:val="24"/>
          <w:szCs w:val="24"/>
        </w:rPr>
        <w:t>dibuktikannya</w:t>
      </w:r>
      <w:proofErr w:type="spellEnd"/>
      <w:r w:rsidR="005F6F17" w:rsidRPr="00B14ED8">
        <w:rPr>
          <w:rFonts w:ascii="Times New Roman" w:eastAsia="Times New Roman" w:hAnsi="Times New Roman" w:cs="Times New Roman"/>
          <w:sz w:val="24"/>
          <w:szCs w:val="24"/>
        </w:rPr>
        <w:t xml:space="preserve"> </w:t>
      </w:r>
      <w:proofErr w:type="spellStart"/>
      <w:r w:rsidR="005F6F17" w:rsidRPr="00B14ED8">
        <w:rPr>
          <w:rFonts w:ascii="Times New Roman" w:eastAsia="Times New Roman" w:hAnsi="Times New Roman" w:cs="Times New Roman"/>
          <w:sz w:val="24"/>
          <w:szCs w:val="24"/>
        </w:rPr>
        <w:t>bahwa</w:t>
      </w:r>
      <w:proofErr w:type="spellEnd"/>
      <w:r w:rsidR="00F41105" w:rsidRPr="00B14ED8">
        <w:rPr>
          <w:rFonts w:ascii="Times New Roman" w:eastAsia="Times New Roman" w:hAnsi="Times New Roman" w:cs="Times New Roman"/>
          <w:sz w:val="24"/>
          <w:szCs w:val="24"/>
        </w:rPr>
        <w:t xml:space="preserve"> </w:t>
      </w:r>
      <w:proofErr w:type="spellStart"/>
      <w:r w:rsidR="00F41105" w:rsidRPr="00B14ED8">
        <w:rPr>
          <w:rFonts w:ascii="Times New Roman" w:eastAsia="Times New Roman" w:hAnsi="Times New Roman" w:cs="Times New Roman"/>
          <w:sz w:val="24"/>
          <w:szCs w:val="24"/>
        </w:rPr>
        <w:t>nilai</w:t>
      </w:r>
      <w:proofErr w:type="spellEnd"/>
      <w:r w:rsidR="00F41105" w:rsidRPr="00B14ED8">
        <w:rPr>
          <w:rFonts w:ascii="Times New Roman" w:eastAsia="Times New Roman" w:hAnsi="Times New Roman" w:cs="Times New Roman"/>
          <w:sz w:val="24"/>
          <w:szCs w:val="24"/>
        </w:rPr>
        <w:t xml:space="preserve"> </w:t>
      </w:r>
      <w:proofErr w:type="spellStart"/>
      <w:r w:rsidR="00F41105" w:rsidRPr="00B14ED8">
        <w:rPr>
          <w:rFonts w:ascii="Times New Roman" w:eastAsia="Times New Roman" w:hAnsi="Times New Roman" w:cs="Times New Roman"/>
          <w:sz w:val="24"/>
          <w:szCs w:val="24"/>
        </w:rPr>
        <w:t>investasi</w:t>
      </w:r>
      <w:proofErr w:type="spellEnd"/>
      <w:r w:rsidR="00F41105" w:rsidRPr="00B14ED8">
        <w:rPr>
          <w:rFonts w:ascii="Times New Roman" w:eastAsia="Times New Roman" w:hAnsi="Times New Roman" w:cs="Times New Roman"/>
          <w:sz w:val="24"/>
          <w:szCs w:val="24"/>
        </w:rPr>
        <w:t xml:space="preserve"> </w:t>
      </w:r>
      <w:proofErr w:type="spellStart"/>
      <w:r w:rsidR="00D74EDF" w:rsidRPr="00B14ED8">
        <w:rPr>
          <w:rFonts w:ascii="Times New Roman" w:eastAsia="Times New Roman" w:hAnsi="Times New Roman" w:cs="Times New Roman"/>
          <w:sz w:val="24"/>
          <w:szCs w:val="24"/>
        </w:rPr>
        <w:t>bagi</w:t>
      </w:r>
      <w:proofErr w:type="spellEnd"/>
      <w:r w:rsidR="00D74EDF" w:rsidRPr="00B14ED8">
        <w:rPr>
          <w:rFonts w:ascii="Times New Roman" w:eastAsia="Times New Roman" w:hAnsi="Times New Roman" w:cs="Times New Roman"/>
          <w:sz w:val="24"/>
          <w:szCs w:val="24"/>
        </w:rPr>
        <w:t xml:space="preserve"> </w:t>
      </w:r>
      <w:proofErr w:type="spellStart"/>
      <w:r w:rsidR="00D74EDF" w:rsidRPr="00B14ED8">
        <w:rPr>
          <w:rFonts w:ascii="Times New Roman" w:eastAsia="Times New Roman" w:hAnsi="Times New Roman" w:cs="Times New Roman"/>
          <w:sz w:val="24"/>
          <w:szCs w:val="24"/>
        </w:rPr>
        <w:t>hasil</w:t>
      </w:r>
      <w:proofErr w:type="spellEnd"/>
      <w:r w:rsidR="00D74EDF" w:rsidRPr="00B14ED8">
        <w:rPr>
          <w:rFonts w:ascii="Times New Roman" w:eastAsia="Times New Roman" w:hAnsi="Times New Roman" w:cs="Times New Roman"/>
          <w:sz w:val="24"/>
          <w:szCs w:val="24"/>
        </w:rPr>
        <w:t xml:space="preserve"> </w:t>
      </w:r>
      <w:proofErr w:type="spellStart"/>
      <w:r w:rsidR="00F63812" w:rsidRPr="00B14ED8">
        <w:rPr>
          <w:rFonts w:ascii="Times New Roman" w:eastAsia="Times New Roman" w:hAnsi="Times New Roman" w:cs="Times New Roman"/>
          <w:i/>
          <w:iCs/>
          <w:sz w:val="24"/>
          <w:szCs w:val="24"/>
        </w:rPr>
        <w:t>mudharabah</w:t>
      </w:r>
      <w:proofErr w:type="spellEnd"/>
      <w:r w:rsidR="00F63812" w:rsidRPr="00B14ED8">
        <w:rPr>
          <w:rFonts w:ascii="Times New Roman" w:eastAsia="Times New Roman" w:hAnsi="Times New Roman" w:cs="Times New Roman"/>
          <w:i/>
          <w:iCs/>
          <w:sz w:val="24"/>
          <w:szCs w:val="24"/>
        </w:rPr>
        <w:t xml:space="preserve"> </w:t>
      </w:r>
      <w:proofErr w:type="spellStart"/>
      <w:r w:rsidR="0091596D" w:rsidRPr="00B14ED8">
        <w:rPr>
          <w:rFonts w:ascii="Times New Roman" w:eastAsia="Times New Roman" w:hAnsi="Times New Roman" w:cs="Times New Roman"/>
          <w:sz w:val="24"/>
          <w:szCs w:val="24"/>
        </w:rPr>
        <w:t>khususnya</w:t>
      </w:r>
      <w:proofErr w:type="spellEnd"/>
      <w:r w:rsidR="0091596D" w:rsidRPr="00B14ED8">
        <w:rPr>
          <w:rFonts w:ascii="Times New Roman" w:eastAsia="Times New Roman" w:hAnsi="Times New Roman" w:cs="Times New Roman"/>
          <w:sz w:val="24"/>
          <w:szCs w:val="24"/>
        </w:rPr>
        <w:t xml:space="preserve"> </w:t>
      </w:r>
      <w:proofErr w:type="spellStart"/>
      <w:r w:rsidR="0091596D" w:rsidRPr="00B14ED8">
        <w:rPr>
          <w:rFonts w:ascii="Times New Roman" w:eastAsia="Times New Roman" w:hAnsi="Times New Roman" w:cs="Times New Roman"/>
          <w:sz w:val="24"/>
          <w:szCs w:val="24"/>
        </w:rPr>
        <w:t>dalam</w:t>
      </w:r>
      <w:proofErr w:type="spellEnd"/>
      <w:r w:rsidR="0091596D" w:rsidRPr="00B14ED8">
        <w:rPr>
          <w:rFonts w:ascii="Times New Roman" w:eastAsia="Times New Roman" w:hAnsi="Times New Roman" w:cs="Times New Roman"/>
          <w:sz w:val="24"/>
          <w:szCs w:val="24"/>
        </w:rPr>
        <w:t xml:space="preserve"> </w:t>
      </w:r>
      <w:r w:rsidR="00A77ADA" w:rsidRPr="00B14ED8">
        <w:rPr>
          <w:rFonts w:ascii="Times New Roman" w:eastAsia="Times New Roman" w:hAnsi="Times New Roman" w:cs="Times New Roman"/>
          <w:sz w:val="24"/>
          <w:szCs w:val="24"/>
        </w:rPr>
        <w:t>6</w:t>
      </w:r>
      <w:r w:rsidR="0091596D" w:rsidRPr="00B14ED8">
        <w:rPr>
          <w:rFonts w:ascii="Times New Roman" w:eastAsia="Times New Roman" w:hAnsi="Times New Roman" w:cs="Times New Roman"/>
          <w:sz w:val="24"/>
          <w:szCs w:val="24"/>
        </w:rPr>
        <w:t xml:space="preserve"> </w:t>
      </w:r>
      <w:proofErr w:type="spellStart"/>
      <w:r w:rsidR="0091596D" w:rsidRPr="00B14ED8">
        <w:rPr>
          <w:rFonts w:ascii="Times New Roman" w:eastAsia="Times New Roman" w:hAnsi="Times New Roman" w:cs="Times New Roman"/>
          <w:sz w:val="24"/>
          <w:szCs w:val="24"/>
        </w:rPr>
        <w:t>tahun</w:t>
      </w:r>
      <w:proofErr w:type="spellEnd"/>
      <w:r w:rsidR="0091596D" w:rsidRPr="00B14ED8">
        <w:rPr>
          <w:rFonts w:ascii="Times New Roman" w:eastAsia="Times New Roman" w:hAnsi="Times New Roman" w:cs="Times New Roman"/>
          <w:sz w:val="24"/>
          <w:szCs w:val="24"/>
        </w:rPr>
        <w:t xml:space="preserve"> </w:t>
      </w:r>
      <w:proofErr w:type="spellStart"/>
      <w:r w:rsidR="0091596D" w:rsidRPr="00B14ED8">
        <w:rPr>
          <w:rFonts w:ascii="Times New Roman" w:eastAsia="Times New Roman" w:hAnsi="Times New Roman" w:cs="Times New Roman"/>
          <w:sz w:val="24"/>
          <w:szCs w:val="24"/>
        </w:rPr>
        <w:t>terakhir</w:t>
      </w:r>
      <w:proofErr w:type="spellEnd"/>
      <w:r w:rsidR="00E3741C" w:rsidRPr="00B14ED8">
        <w:rPr>
          <w:rFonts w:ascii="Times New Roman" w:eastAsia="Times New Roman" w:hAnsi="Times New Roman" w:cs="Times New Roman"/>
          <w:sz w:val="24"/>
          <w:szCs w:val="24"/>
        </w:rPr>
        <w:t xml:space="preserve"> yang</w:t>
      </w:r>
      <w:r w:rsidR="0091596D" w:rsidRPr="00B14ED8">
        <w:rPr>
          <w:rFonts w:ascii="Times New Roman" w:eastAsia="Times New Roman" w:hAnsi="Times New Roman" w:cs="Times New Roman"/>
          <w:sz w:val="24"/>
          <w:szCs w:val="24"/>
        </w:rPr>
        <w:t xml:space="preserve"> </w:t>
      </w:r>
      <w:proofErr w:type="spellStart"/>
      <w:r w:rsidR="0091596D" w:rsidRPr="00B14ED8">
        <w:rPr>
          <w:rFonts w:ascii="Times New Roman" w:eastAsia="Times New Roman" w:hAnsi="Times New Roman" w:cs="Times New Roman"/>
          <w:sz w:val="24"/>
          <w:szCs w:val="24"/>
        </w:rPr>
        <w:t>terus</w:t>
      </w:r>
      <w:proofErr w:type="spellEnd"/>
      <w:r w:rsidR="0091596D" w:rsidRPr="00B14ED8">
        <w:rPr>
          <w:rFonts w:ascii="Times New Roman" w:eastAsia="Times New Roman" w:hAnsi="Times New Roman" w:cs="Times New Roman"/>
          <w:sz w:val="24"/>
          <w:szCs w:val="24"/>
        </w:rPr>
        <w:t xml:space="preserve"> </w:t>
      </w:r>
      <w:proofErr w:type="spellStart"/>
      <w:r w:rsidR="0091596D" w:rsidRPr="00B14ED8">
        <w:rPr>
          <w:rFonts w:ascii="Times New Roman" w:eastAsia="Times New Roman" w:hAnsi="Times New Roman" w:cs="Times New Roman"/>
          <w:sz w:val="24"/>
          <w:szCs w:val="24"/>
        </w:rPr>
        <w:t>menerus</w:t>
      </w:r>
      <w:proofErr w:type="spellEnd"/>
      <w:r w:rsidR="00F41105" w:rsidRPr="00B14ED8">
        <w:rPr>
          <w:rFonts w:ascii="Times New Roman" w:eastAsia="Times New Roman" w:hAnsi="Times New Roman" w:cs="Times New Roman"/>
          <w:sz w:val="24"/>
          <w:szCs w:val="24"/>
        </w:rPr>
        <w:t xml:space="preserve"> </w:t>
      </w:r>
      <w:proofErr w:type="spellStart"/>
      <w:r w:rsidR="00F41105" w:rsidRPr="00B14ED8">
        <w:rPr>
          <w:rFonts w:ascii="Times New Roman" w:eastAsia="Times New Roman" w:hAnsi="Times New Roman" w:cs="Times New Roman"/>
          <w:sz w:val="24"/>
          <w:szCs w:val="24"/>
        </w:rPr>
        <w:t>mengalami</w:t>
      </w:r>
      <w:proofErr w:type="spellEnd"/>
      <w:r w:rsidR="00F41105" w:rsidRPr="00B14ED8">
        <w:rPr>
          <w:rFonts w:ascii="Times New Roman" w:eastAsia="Times New Roman" w:hAnsi="Times New Roman" w:cs="Times New Roman"/>
          <w:sz w:val="24"/>
          <w:szCs w:val="24"/>
        </w:rPr>
        <w:t xml:space="preserve"> </w:t>
      </w:r>
      <w:proofErr w:type="spellStart"/>
      <w:r w:rsidR="00F41105" w:rsidRPr="00B14ED8">
        <w:rPr>
          <w:rFonts w:ascii="Times New Roman" w:eastAsia="Times New Roman" w:hAnsi="Times New Roman" w:cs="Times New Roman"/>
          <w:sz w:val="24"/>
          <w:szCs w:val="24"/>
        </w:rPr>
        <w:t>penurunan</w:t>
      </w:r>
      <w:proofErr w:type="spellEnd"/>
      <w:r w:rsidR="002E6F5C" w:rsidRPr="00B14ED8">
        <w:rPr>
          <w:rFonts w:ascii="Times New Roman" w:eastAsia="Times New Roman" w:hAnsi="Times New Roman" w:cs="Times New Roman"/>
          <w:sz w:val="24"/>
          <w:szCs w:val="24"/>
        </w:rPr>
        <w:t xml:space="preserve"> </w:t>
      </w:r>
      <w:proofErr w:type="spellStart"/>
      <w:r w:rsidR="002E6F5C" w:rsidRPr="00B14ED8">
        <w:rPr>
          <w:rFonts w:ascii="Times New Roman" w:eastAsia="Times New Roman" w:hAnsi="Times New Roman" w:cs="Times New Roman"/>
          <w:sz w:val="24"/>
          <w:szCs w:val="24"/>
        </w:rPr>
        <w:t>sebagaimana</w:t>
      </w:r>
      <w:proofErr w:type="spellEnd"/>
      <w:r w:rsidR="002E6F5C" w:rsidRPr="00B14ED8">
        <w:rPr>
          <w:rFonts w:ascii="Times New Roman" w:eastAsia="Times New Roman" w:hAnsi="Times New Roman" w:cs="Times New Roman"/>
          <w:sz w:val="24"/>
          <w:szCs w:val="24"/>
        </w:rPr>
        <w:t xml:space="preserve"> data yang </w:t>
      </w:r>
      <w:proofErr w:type="spellStart"/>
      <w:r w:rsidR="002E6F5C" w:rsidRPr="00B14ED8">
        <w:rPr>
          <w:rFonts w:ascii="Times New Roman" w:eastAsia="Times New Roman" w:hAnsi="Times New Roman" w:cs="Times New Roman"/>
          <w:sz w:val="24"/>
          <w:szCs w:val="24"/>
        </w:rPr>
        <w:t>dipublikasikan</w:t>
      </w:r>
      <w:proofErr w:type="spellEnd"/>
      <w:r w:rsidR="005F4668" w:rsidRPr="00B14ED8">
        <w:rPr>
          <w:rFonts w:ascii="Times New Roman" w:eastAsia="Times New Roman" w:hAnsi="Times New Roman" w:cs="Times New Roman"/>
          <w:sz w:val="24"/>
          <w:szCs w:val="24"/>
        </w:rPr>
        <w:t xml:space="preserve"> </w:t>
      </w:r>
      <w:proofErr w:type="spellStart"/>
      <w:r w:rsidR="005F4668" w:rsidRPr="00B14ED8">
        <w:rPr>
          <w:rFonts w:ascii="Times New Roman" w:eastAsia="Times New Roman" w:hAnsi="Times New Roman" w:cs="Times New Roman"/>
          <w:sz w:val="24"/>
          <w:szCs w:val="24"/>
        </w:rPr>
        <w:t>Otoritas</w:t>
      </w:r>
      <w:proofErr w:type="spellEnd"/>
      <w:r w:rsidR="005F4668" w:rsidRPr="00B14ED8">
        <w:rPr>
          <w:rFonts w:ascii="Times New Roman" w:eastAsia="Times New Roman" w:hAnsi="Times New Roman" w:cs="Times New Roman"/>
          <w:sz w:val="24"/>
          <w:szCs w:val="24"/>
        </w:rPr>
        <w:t xml:space="preserve"> </w:t>
      </w:r>
      <w:proofErr w:type="spellStart"/>
      <w:r w:rsidR="005F4668" w:rsidRPr="00B14ED8">
        <w:rPr>
          <w:rFonts w:ascii="Times New Roman" w:eastAsia="Times New Roman" w:hAnsi="Times New Roman" w:cs="Times New Roman"/>
          <w:sz w:val="24"/>
          <w:szCs w:val="24"/>
        </w:rPr>
        <w:t>Jasa</w:t>
      </w:r>
      <w:proofErr w:type="spellEnd"/>
      <w:r w:rsidR="005F4668" w:rsidRPr="00B14ED8">
        <w:rPr>
          <w:rFonts w:ascii="Times New Roman" w:eastAsia="Times New Roman" w:hAnsi="Times New Roman" w:cs="Times New Roman"/>
          <w:sz w:val="24"/>
          <w:szCs w:val="24"/>
        </w:rPr>
        <w:t xml:space="preserve"> </w:t>
      </w:r>
      <w:proofErr w:type="spellStart"/>
      <w:r w:rsidR="005F4668" w:rsidRPr="00B14ED8">
        <w:rPr>
          <w:rFonts w:ascii="Times New Roman" w:eastAsia="Times New Roman" w:hAnsi="Times New Roman" w:cs="Times New Roman"/>
          <w:sz w:val="24"/>
          <w:szCs w:val="24"/>
        </w:rPr>
        <w:t>Keuangan</w:t>
      </w:r>
      <w:proofErr w:type="spellEnd"/>
      <w:r w:rsidR="005F4668" w:rsidRPr="00B14ED8">
        <w:rPr>
          <w:rFonts w:ascii="Times New Roman" w:eastAsia="Times New Roman" w:hAnsi="Times New Roman" w:cs="Times New Roman"/>
          <w:sz w:val="24"/>
          <w:szCs w:val="24"/>
        </w:rPr>
        <w:t xml:space="preserve"> </w:t>
      </w:r>
      <w:proofErr w:type="spellStart"/>
      <w:r w:rsidR="005F4668" w:rsidRPr="00B14ED8">
        <w:rPr>
          <w:rFonts w:ascii="Times New Roman" w:eastAsia="Times New Roman" w:hAnsi="Times New Roman" w:cs="Times New Roman"/>
          <w:sz w:val="24"/>
          <w:szCs w:val="24"/>
        </w:rPr>
        <w:t>Tahun</w:t>
      </w:r>
      <w:proofErr w:type="spellEnd"/>
      <w:r w:rsidR="005F4668" w:rsidRPr="00B14ED8">
        <w:rPr>
          <w:rFonts w:ascii="Times New Roman" w:eastAsia="Times New Roman" w:hAnsi="Times New Roman" w:cs="Times New Roman"/>
          <w:sz w:val="24"/>
          <w:szCs w:val="24"/>
        </w:rPr>
        <w:t xml:space="preserve"> 202</w:t>
      </w:r>
      <w:r w:rsidR="00A77ADA" w:rsidRPr="00B14ED8">
        <w:rPr>
          <w:rFonts w:ascii="Times New Roman" w:eastAsia="Times New Roman" w:hAnsi="Times New Roman" w:cs="Times New Roman"/>
          <w:sz w:val="24"/>
          <w:szCs w:val="24"/>
        </w:rPr>
        <w:t>2</w:t>
      </w:r>
      <w:r w:rsidR="005F4668" w:rsidRPr="00B14ED8">
        <w:rPr>
          <w:rFonts w:ascii="Times New Roman" w:eastAsia="Times New Roman" w:hAnsi="Times New Roman" w:cs="Times New Roman"/>
          <w:sz w:val="24"/>
          <w:szCs w:val="24"/>
        </w:rPr>
        <w:t xml:space="preserve"> </w:t>
      </w:r>
      <w:proofErr w:type="spellStart"/>
      <w:r w:rsidR="00010485" w:rsidRPr="00B14ED8">
        <w:rPr>
          <w:rFonts w:ascii="Times New Roman" w:eastAsia="Times New Roman" w:hAnsi="Times New Roman" w:cs="Times New Roman"/>
          <w:sz w:val="24"/>
          <w:szCs w:val="24"/>
        </w:rPr>
        <w:t>sebagai</w:t>
      </w:r>
      <w:proofErr w:type="spellEnd"/>
      <w:r w:rsidR="00010485" w:rsidRPr="00B14ED8">
        <w:rPr>
          <w:rFonts w:ascii="Times New Roman" w:eastAsia="Times New Roman" w:hAnsi="Times New Roman" w:cs="Times New Roman"/>
          <w:sz w:val="24"/>
          <w:szCs w:val="24"/>
        </w:rPr>
        <w:t xml:space="preserve"> </w:t>
      </w:r>
      <w:proofErr w:type="spellStart"/>
      <w:r w:rsidR="00010485" w:rsidRPr="00B14ED8">
        <w:rPr>
          <w:rFonts w:ascii="Times New Roman" w:eastAsia="Times New Roman" w:hAnsi="Times New Roman" w:cs="Times New Roman"/>
          <w:sz w:val="24"/>
          <w:szCs w:val="24"/>
        </w:rPr>
        <w:t>berikut</w:t>
      </w:r>
      <w:proofErr w:type="spellEnd"/>
      <w:r w:rsidR="00010485" w:rsidRPr="00B14ED8">
        <w:rPr>
          <w:rFonts w:ascii="Times New Roman" w:eastAsia="Times New Roman" w:hAnsi="Times New Roman" w:cs="Times New Roman"/>
          <w:sz w:val="24"/>
          <w:szCs w:val="24"/>
        </w:rPr>
        <w:t>:</w:t>
      </w:r>
    </w:p>
    <w:p w14:paraId="6D4E9801" w14:textId="2C80BE6D" w:rsidR="00DE6707" w:rsidRPr="00B14ED8" w:rsidRDefault="00DE6707" w:rsidP="00B14ED8">
      <w:pPr>
        <w:spacing w:after="0" w:line="360" w:lineRule="auto"/>
        <w:ind w:firstLine="720"/>
        <w:jc w:val="both"/>
        <w:rPr>
          <w:rFonts w:ascii="Times New Roman" w:eastAsia="Times New Roman" w:hAnsi="Times New Roman" w:cs="Times New Roman"/>
          <w:sz w:val="24"/>
          <w:szCs w:val="24"/>
        </w:rPr>
      </w:pPr>
    </w:p>
    <w:p w14:paraId="1F1C84CF" w14:textId="2427BAE3" w:rsidR="00DE6707" w:rsidRPr="00B14ED8" w:rsidRDefault="00DE6707" w:rsidP="00B14ED8">
      <w:pPr>
        <w:spacing w:after="0" w:line="360" w:lineRule="auto"/>
        <w:ind w:firstLine="720"/>
        <w:jc w:val="both"/>
        <w:rPr>
          <w:rFonts w:ascii="Times New Roman" w:eastAsia="Times New Roman" w:hAnsi="Times New Roman" w:cs="Times New Roman"/>
          <w:sz w:val="24"/>
          <w:szCs w:val="24"/>
        </w:rPr>
      </w:pPr>
    </w:p>
    <w:p w14:paraId="25C051A8" w14:textId="0020CCA4" w:rsidR="00DE6707" w:rsidRPr="00B14ED8" w:rsidRDefault="00DE6707" w:rsidP="00DD2BAE">
      <w:pPr>
        <w:spacing w:after="0" w:line="360" w:lineRule="auto"/>
        <w:jc w:val="both"/>
        <w:rPr>
          <w:rFonts w:ascii="Times New Roman" w:eastAsia="Times New Roman" w:hAnsi="Times New Roman" w:cs="Times New Roman"/>
          <w:sz w:val="24"/>
          <w:szCs w:val="24"/>
        </w:rPr>
      </w:pPr>
    </w:p>
    <w:p w14:paraId="271D1852" w14:textId="7CE938E5" w:rsidR="00DE6707" w:rsidRPr="00B14ED8" w:rsidRDefault="00B14ED8" w:rsidP="00B14ED8">
      <w:pPr>
        <w:spacing w:after="0" w:line="360" w:lineRule="auto"/>
        <w:ind w:firstLine="720"/>
        <w:jc w:val="both"/>
        <w:rPr>
          <w:rFonts w:ascii="Times New Roman" w:eastAsia="Times New Roman" w:hAnsi="Times New Roman" w:cs="Times New Roman"/>
          <w:sz w:val="24"/>
          <w:szCs w:val="24"/>
        </w:rPr>
      </w:pPr>
      <w:r w:rsidRPr="00B14ED8">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19745585" wp14:editId="2B3EBB2C">
            <wp:simplePos x="0" y="0"/>
            <wp:positionH relativeFrom="margin">
              <wp:align>center</wp:align>
            </wp:positionH>
            <wp:positionV relativeFrom="paragraph">
              <wp:posOffset>-69356</wp:posOffset>
            </wp:positionV>
            <wp:extent cx="5701030" cy="2227153"/>
            <wp:effectExtent l="0" t="0" r="13970" b="1905"/>
            <wp:wrapNone/>
            <wp:docPr id="1893686756" name="Chart 1">
              <a:extLst xmlns:a="http://schemas.openxmlformats.org/drawingml/2006/main">
                <a:ext uri="{FF2B5EF4-FFF2-40B4-BE49-F238E27FC236}">
                  <a16:creationId xmlns:a16="http://schemas.microsoft.com/office/drawing/2014/main" id="{619262B4-DFBC-E9FD-0197-ED009892D0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55C346E" w14:textId="11A8CE97" w:rsidR="00DE6707" w:rsidRPr="00B14ED8" w:rsidRDefault="00DE6707" w:rsidP="00B14ED8">
      <w:pPr>
        <w:spacing w:after="0" w:line="360" w:lineRule="auto"/>
        <w:ind w:firstLine="720"/>
        <w:jc w:val="both"/>
        <w:rPr>
          <w:rFonts w:ascii="Times New Roman" w:eastAsia="Times New Roman" w:hAnsi="Times New Roman" w:cs="Times New Roman"/>
          <w:sz w:val="24"/>
          <w:szCs w:val="24"/>
        </w:rPr>
      </w:pPr>
    </w:p>
    <w:p w14:paraId="6AED2588" w14:textId="395E21E7" w:rsidR="00F316B0" w:rsidRPr="00B14ED8" w:rsidRDefault="00F316B0" w:rsidP="00B14ED8">
      <w:pPr>
        <w:spacing w:after="0" w:line="360" w:lineRule="auto"/>
        <w:ind w:firstLine="720"/>
        <w:jc w:val="both"/>
        <w:rPr>
          <w:rFonts w:ascii="Times New Roman" w:eastAsia="Times New Roman" w:hAnsi="Times New Roman" w:cs="Times New Roman"/>
          <w:sz w:val="24"/>
          <w:szCs w:val="24"/>
        </w:rPr>
      </w:pPr>
    </w:p>
    <w:p w14:paraId="53A8F0F3" w14:textId="7DEE68A8" w:rsidR="002165AE" w:rsidRPr="00B14ED8" w:rsidRDefault="002165AE" w:rsidP="00B14ED8">
      <w:pPr>
        <w:spacing w:after="0" w:line="360" w:lineRule="auto"/>
        <w:ind w:firstLine="720"/>
        <w:jc w:val="both"/>
        <w:rPr>
          <w:rFonts w:ascii="Times New Roman" w:eastAsia="Times New Roman" w:hAnsi="Times New Roman" w:cs="Times New Roman"/>
          <w:sz w:val="24"/>
          <w:szCs w:val="24"/>
        </w:rPr>
      </w:pPr>
    </w:p>
    <w:p w14:paraId="23767508" w14:textId="2C545055" w:rsidR="00BD4A53" w:rsidRPr="00B14ED8" w:rsidRDefault="00BD4A53" w:rsidP="00B14ED8">
      <w:pPr>
        <w:spacing w:after="0" w:line="360" w:lineRule="auto"/>
        <w:ind w:firstLine="720"/>
        <w:jc w:val="both"/>
        <w:rPr>
          <w:rFonts w:ascii="Times New Roman" w:eastAsia="Times New Roman" w:hAnsi="Times New Roman" w:cs="Times New Roman"/>
          <w:sz w:val="24"/>
          <w:szCs w:val="24"/>
        </w:rPr>
      </w:pPr>
    </w:p>
    <w:p w14:paraId="4C298EF6" w14:textId="607E9BF0" w:rsidR="00177D53" w:rsidRDefault="00177D53" w:rsidP="00B14ED8">
      <w:pPr>
        <w:spacing w:after="0" w:line="360" w:lineRule="auto"/>
        <w:jc w:val="both"/>
        <w:rPr>
          <w:rFonts w:ascii="Times New Roman" w:eastAsia="Times New Roman" w:hAnsi="Times New Roman" w:cs="Times New Roman"/>
          <w:sz w:val="24"/>
          <w:szCs w:val="24"/>
        </w:rPr>
      </w:pPr>
    </w:p>
    <w:p w14:paraId="70AAACC6" w14:textId="608CD996" w:rsidR="00B14ED8" w:rsidRDefault="00B14ED8" w:rsidP="00B14ED8">
      <w:pPr>
        <w:spacing w:after="0" w:line="360" w:lineRule="auto"/>
        <w:jc w:val="both"/>
        <w:rPr>
          <w:rFonts w:ascii="Times New Roman" w:eastAsia="Times New Roman" w:hAnsi="Times New Roman" w:cs="Times New Roman"/>
          <w:sz w:val="24"/>
          <w:szCs w:val="24"/>
        </w:rPr>
      </w:pPr>
    </w:p>
    <w:p w14:paraId="72F98D0F" w14:textId="79975B8C" w:rsidR="00B14ED8" w:rsidRDefault="00B14ED8" w:rsidP="00B14ED8">
      <w:pPr>
        <w:spacing w:after="0" w:line="360" w:lineRule="auto"/>
        <w:jc w:val="both"/>
        <w:rPr>
          <w:rFonts w:ascii="Times New Roman" w:eastAsia="Times New Roman" w:hAnsi="Times New Roman" w:cs="Times New Roman"/>
          <w:sz w:val="24"/>
          <w:szCs w:val="24"/>
        </w:rPr>
      </w:pPr>
    </w:p>
    <w:p w14:paraId="659198C3" w14:textId="6B476180" w:rsidR="00B14ED8" w:rsidRDefault="00B14ED8" w:rsidP="00B14ED8">
      <w:pPr>
        <w:spacing w:after="0" w:line="360" w:lineRule="auto"/>
        <w:jc w:val="both"/>
        <w:rPr>
          <w:rFonts w:ascii="Times New Roman" w:eastAsia="Times New Roman" w:hAnsi="Times New Roman" w:cs="Times New Roman"/>
          <w:sz w:val="24"/>
          <w:szCs w:val="24"/>
        </w:rPr>
      </w:pPr>
      <w:r w:rsidRPr="00B14ED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7679BA2" wp14:editId="209F50A4">
                <wp:simplePos x="0" y="0"/>
                <wp:positionH relativeFrom="margin">
                  <wp:align>center</wp:align>
                </wp:positionH>
                <wp:positionV relativeFrom="paragraph">
                  <wp:posOffset>107668</wp:posOffset>
                </wp:positionV>
                <wp:extent cx="5701030" cy="635"/>
                <wp:effectExtent l="0" t="0" r="0" b="2540"/>
                <wp:wrapNone/>
                <wp:docPr id="916264203" name="Text Box 1"/>
                <wp:cNvGraphicFramePr/>
                <a:graphic xmlns:a="http://schemas.openxmlformats.org/drawingml/2006/main">
                  <a:graphicData uri="http://schemas.microsoft.com/office/word/2010/wordprocessingShape">
                    <wps:wsp>
                      <wps:cNvSpPr txBox="1"/>
                      <wps:spPr>
                        <a:xfrm>
                          <a:off x="0" y="0"/>
                          <a:ext cx="5701030" cy="635"/>
                        </a:xfrm>
                        <a:prstGeom prst="rect">
                          <a:avLst/>
                        </a:prstGeom>
                        <a:solidFill>
                          <a:prstClr val="white"/>
                        </a:solidFill>
                        <a:ln>
                          <a:noFill/>
                        </a:ln>
                      </wps:spPr>
                      <wps:txbx>
                        <w:txbxContent>
                          <w:p w14:paraId="4134E0F0" w14:textId="24B10361" w:rsidR="001C169A" w:rsidRPr="009D7EC2" w:rsidRDefault="001C169A" w:rsidP="009D7EC2">
                            <w:pPr>
                              <w:pStyle w:val="Caption"/>
                              <w:spacing w:after="0"/>
                              <w:jc w:val="center"/>
                              <w:rPr>
                                <w:rFonts w:ascii="Times New Roman" w:hAnsi="Times New Roman" w:cs="Times New Roman"/>
                                <w:i w:val="0"/>
                                <w:iCs w:val="0"/>
                                <w:color w:val="000000" w:themeColor="text1"/>
                                <w:sz w:val="22"/>
                                <w:szCs w:val="22"/>
                              </w:rPr>
                            </w:pPr>
                            <w:r w:rsidRPr="009D7EC2">
                              <w:rPr>
                                <w:rFonts w:ascii="Times New Roman" w:hAnsi="Times New Roman" w:cs="Times New Roman"/>
                                <w:i w:val="0"/>
                                <w:iCs w:val="0"/>
                                <w:color w:val="000000" w:themeColor="text1"/>
                                <w:sz w:val="22"/>
                                <w:szCs w:val="22"/>
                              </w:rPr>
                              <w:t xml:space="preserve">Gambar  </w:t>
                            </w:r>
                            <w:r w:rsidRPr="009D7EC2">
                              <w:rPr>
                                <w:rFonts w:ascii="Times New Roman" w:hAnsi="Times New Roman" w:cs="Times New Roman"/>
                                <w:i w:val="0"/>
                                <w:iCs w:val="0"/>
                                <w:color w:val="000000" w:themeColor="text1"/>
                                <w:sz w:val="22"/>
                                <w:szCs w:val="22"/>
                              </w:rPr>
                              <w:fldChar w:fldCharType="begin"/>
                            </w:r>
                            <w:r w:rsidRPr="009D7EC2">
                              <w:rPr>
                                <w:rFonts w:ascii="Times New Roman" w:hAnsi="Times New Roman" w:cs="Times New Roman"/>
                                <w:i w:val="0"/>
                                <w:iCs w:val="0"/>
                                <w:color w:val="000000" w:themeColor="text1"/>
                                <w:sz w:val="22"/>
                                <w:szCs w:val="22"/>
                              </w:rPr>
                              <w:instrText xml:space="preserve"> SEQ Gambar_ \* ARABIC </w:instrText>
                            </w:r>
                            <w:r w:rsidRPr="009D7EC2">
                              <w:rPr>
                                <w:rFonts w:ascii="Times New Roman" w:hAnsi="Times New Roman" w:cs="Times New Roman"/>
                                <w:i w:val="0"/>
                                <w:iCs w:val="0"/>
                                <w:color w:val="000000" w:themeColor="text1"/>
                                <w:sz w:val="22"/>
                                <w:szCs w:val="22"/>
                              </w:rPr>
                              <w:fldChar w:fldCharType="separate"/>
                            </w:r>
                            <w:r w:rsidR="00940D99">
                              <w:rPr>
                                <w:rFonts w:ascii="Times New Roman" w:hAnsi="Times New Roman" w:cs="Times New Roman"/>
                                <w:i w:val="0"/>
                                <w:iCs w:val="0"/>
                                <w:noProof/>
                                <w:color w:val="000000" w:themeColor="text1"/>
                                <w:sz w:val="22"/>
                                <w:szCs w:val="22"/>
                              </w:rPr>
                              <w:t>1</w:t>
                            </w:r>
                            <w:r w:rsidRPr="009D7EC2">
                              <w:rPr>
                                <w:rFonts w:ascii="Times New Roman" w:hAnsi="Times New Roman" w:cs="Times New Roman"/>
                                <w:i w:val="0"/>
                                <w:iCs w:val="0"/>
                                <w:color w:val="000000" w:themeColor="text1"/>
                                <w:sz w:val="22"/>
                                <w:szCs w:val="22"/>
                              </w:rPr>
                              <w:fldChar w:fldCharType="end"/>
                            </w:r>
                            <w:r w:rsidRPr="009D7EC2">
                              <w:rPr>
                                <w:rFonts w:ascii="Times New Roman" w:hAnsi="Times New Roman" w:cs="Times New Roman"/>
                                <w:i w:val="0"/>
                                <w:iCs w:val="0"/>
                                <w:color w:val="000000" w:themeColor="text1"/>
                                <w:sz w:val="22"/>
                                <w:szCs w:val="22"/>
                              </w:rPr>
                              <w:t xml:space="preserve">. Nilai Rata – Rata Pembiayaan </w:t>
                            </w:r>
                            <w:r w:rsidRPr="00807BEE">
                              <w:rPr>
                                <w:rFonts w:ascii="Times New Roman" w:hAnsi="Times New Roman" w:cs="Times New Roman"/>
                                <w:color w:val="000000" w:themeColor="text1"/>
                                <w:sz w:val="22"/>
                                <w:szCs w:val="22"/>
                              </w:rPr>
                              <w:t>Mudharabah</w:t>
                            </w:r>
                            <w:r w:rsidRPr="009D7EC2">
                              <w:rPr>
                                <w:rFonts w:ascii="Times New Roman" w:hAnsi="Times New Roman" w:cs="Times New Roman"/>
                                <w:i w:val="0"/>
                                <w:iCs w:val="0"/>
                                <w:color w:val="000000" w:themeColor="text1"/>
                                <w:sz w:val="22"/>
                                <w:szCs w:val="22"/>
                              </w:rPr>
                              <w:t xml:space="preserve"> 20</w:t>
                            </w:r>
                            <w:r w:rsidR="00A248C4">
                              <w:rPr>
                                <w:rFonts w:ascii="Times New Roman" w:hAnsi="Times New Roman" w:cs="Times New Roman"/>
                                <w:i w:val="0"/>
                                <w:iCs w:val="0"/>
                                <w:color w:val="000000" w:themeColor="text1"/>
                                <w:sz w:val="22"/>
                                <w:szCs w:val="22"/>
                              </w:rPr>
                              <w:t>17</w:t>
                            </w:r>
                            <w:r w:rsidRPr="009D7EC2">
                              <w:rPr>
                                <w:rFonts w:ascii="Times New Roman" w:hAnsi="Times New Roman" w:cs="Times New Roman"/>
                                <w:i w:val="0"/>
                                <w:iCs w:val="0"/>
                                <w:color w:val="000000" w:themeColor="text1"/>
                                <w:sz w:val="22"/>
                                <w:szCs w:val="22"/>
                              </w:rPr>
                              <w:t xml:space="preserve"> </w:t>
                            </w:r>
                            <w:r w:rsidR="009D7EC2" w:rsidRPr="009D7EC2">
                              <w:rPr>
                                <w:rFonts w:ascii="Times New Roman" w:hAnsi="Times New Roman" w:cs="Times New Roman"/>
                                <w:i w:val="0"/>
                                <w:iCs w:val="0"/>
                                <w:color w:val="000000" w:themeColor="text1"/>
                                <w:sz w:val="22"/>
                                <w:szCs w:val="22"/>
                              </w:rPr>
                              <w:t>–</w:t>
                            </w:r>
                            <w:r w:rsidRPr="009D7EC2">
                              <w:rPr>
                                <w:rFonts w:ascii="Times New Roman" w:hAnsi="Times New Roman" w:cs="Times New Roman"/>
                                <w:i w:val="0"/>
                                <w:iCs w:val="0"/>
                                <w:color w:val="000000" w:themeColor="text1"/>
                                <w:sz w:val="22"/>
                                <w:szCs w:val="22"/>
                              </w:rPr>
                              <w:t xml:space="preserve"> 202</w:t>
                            </w:r>
                            <w:r w:rsidR="00A77ADA">
                              <w:rPr>
                                <w:rFonts w:ascii="Times New Roman" w:hAnsi="Times New Roman" w:cs="Times New Roman"/>
                                <w:i w:val="0"/>
                                <w:iCs w:val="0"/>
                                <w:color w:val="000000" w:themeColor="text1"/>
                                <w:sz w:val="22"/>
                                <w:szCs w:val="22"/>
                              </w:rPr>
                              <w:t>2</w:t>
                            </w:r>
                          </w:p>
                          <w:p w14:paraId="76996039" w14:textId="689DB76B" w:rsidR="009D7EC2" w:rsidRPr="009D7EC2" w:rsidRDefault="009D7EC2" w:rsidP="009D7EC2">
                            <w:pPr>
                              <w:spacing w:after="0" w:line="240" w:lineRule="auto"/>
                              <w:jc w:val="center"/>
                              <w:rPr>
                                <w:rFonts w:ascii="Times New Roman" w:hAnsi="Times New Roman" w:cs="Times New Roman"/>
                              </w:rPr>
                            </w:pPr>
                            <w:r>
                              <w:rPr>
                                <w:rFonts w:ascii="Times New Roman" w:hAnsi="Times New Roman" w:cs="Times New Roman"/>
                              </w:rPr>
                              <w:t>(</w:t>
                            </w:r>
                            <w:r w:rsidRPr="009D7EC2">
                              <w:rPr>
                                <w:rFonts w:ascii="Times New Roman" w:hAnsi="Times New Roman" w:cs="Times New Roman"/>
                              </w:rPr>
                              <w:t>Sumber: Laporan Statistik Perbankan Syariah OJK 20</w:t>
                            </w:r>
                            <w:r w:rsidR="00A248C4">
                              <w:rPr>
                                <w:rFonts w:ascii="Times New Roman" w:hAnsi="Times New Roman" w:cs="Times New Roman"/>
                              </w:rPr>
                              <w:t>17</w:t>
                            </w:r>
                            <w:r w:rsidRPr="009D7EC2">
                              <w:rPr>
                                <w:rFonts w:ascii="Times New Roman" w:hAnsi="Times New Roman" w:cs="Times New Roman"/>
                              </w:rPr>
                              <w:t xml:space="preserve"> - 202</w:t>
                            </w:r>
                            <w:r w:rsidR="00A77ADA">
                              <w:rPr>
                                <w:rFonts w:ascii="Times New Roman" w:hAnsi="Times New Roman" w:cs="Times New Roman"/>
                              </w:rPr>
                              <w:t>2</w:t>
                            </w:r>
                            <w:r>
                              <w:rPr>
                                <w:rFonts w:ascii="Times New Roman" w:hAnsi="Times New Roman" w:cs="Times New Roma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type w14:anchorId="27679BA2" id="_x0000_t202" coordsize="21600,21600" o:spt="202" path="m,l,21600r21600,l21600,xe">
                <v:stroke joinstyle="miter"/>
                <v:path gradientshapeok="t" o:connecttype="rect"/>
              </v:shapetype>
              <v:shape id="Text Box 1" o:spid="_x0000_s1026" type="#_x0000_t202" style="position:absolute;left:0;text-align:left;margin-left:0;margin-top:8.5pt;width:448.9pt;height:.0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" stroked="f">
                <v:textbox style="mso-fit-shape-to-text:t" inset="0,0,0,0">
                  <w:txbxContent>
                    <w:p w14:paraId="4134E0F0" w14:textId="24B10361" w:rsidR="001C169A" w:rsidRPr="009D7EC2" w:rsidRDefault="001C169A" w:rsidP="009D7EC2">
                      <w:pPr>
                        <w:pStyle w:val="Caption"/>
                        <w:spacing w:after="0"/>
                        <w:jc w:val="center"/>
                        <w:rPr>
                          <w:rFonts w:ascii="Times New Roman" w:hAnsi="Times New Roman" w:cs="Times New Roman"/>
                          <w:i w:val="0"/>
                          <w:iCs w:val="0"/>
                          <w:color w:val="000000" w:themeColor="text1"/>
                          <w:sz w:val="22"/>
                          <w:szCs w:val="22"/>
                        </w:rPr>
                      </w:pPr>
                      <w:r w:rsidRPr="009D7EC2">
                        <w:rPr>
                          <w:rFonts w:ascii="Times New Roman" w:hAnsi="Times New Roman" w:cs="Times New Roman"/>
                          <w:i w:val="0"/>
                          <w:iCs w:val="0"/>
                          <w:color w:val="000000" w:themeColor="text1"/>
                          <w:sz w:val="22"/>
                          <w:szCs w:val="22"/>
                        </w:rPr>
                        <w:t xml:space="preserve">Gambar  </w:t>
                      </w:r>
                      <w:r w:rsidRPr="009D7EC2">
                        <w:rPr>
                          <w:rFonts w:ascii="Times New Roman" w:hAnsi="Times New Roman" w:cs="Times New Roman"/>
                          <w:i w:val="0"/>
                          <w:iCs w:val="0"/>
                          <w:color w:val="000000" w:themeColor="text1"/>
                          <w:sz w:val="22"/>
                          <w:szCs w:val="22"/>
                        </w:rPr>
                        <w:fldChar w:fldCharType="begin"/>
                      </w:r>
                      <w:r w:rsidRPr="009D7EC2">
                        <w:rPr>
                          <w:rFonts w:ascii="Times New Roman" w:hAnsi="Times New Roman" w:cs="Times New Roman"/>
                          <w:i w:val="0"/>
                          <w:iCs w:val="0"/>
                          <w:color w:val="000000" w:themeColor="text1"/>
                          <w:sz w:val="22"/>
                          <w:szCs w:val="22"/>
                        </w:rPr>
                        <w:instrText xml:space="preserve"> SEQ Gambar_ \* ARABIC </w:instrText>
                      </w:r>
                      <w:r w:rsidRPr="009D7EC2">
                        <w:rPr>
                          <w:rFonts w:ascii="Times New Roman" w:hAnsi="Times New Roman" w:cs="Times New Roman"/>
                          <w:i w:val="0"/>
                          <w:iCs w:val="0"/>
                          <w:color w:val="000000" w:themeColor="text1"/>
                          <w:sz w:val="22"/>
                          <w:szCs w:val="22"/>
                        </w:rPr>
                        <w:fldChar w:fldCharType="separate"/>
                      </w:r>
                      <w:r w:rsidR="00940D99">
                        <w:rPr>
                          <w:rFonts w:ascii="Times New Roman" w:hAnsi="Times New Roman" w:cs="Times New Roman"/>
                          <w:i w:val="0"/>
                          <w:iCs w:val="0"/>
                          <w:noProof/>
                          <w:color w:val="000000" w:themeColor="text1"/>
                          <w:sz w:val="22"/>
                          <w:szCs w:val="22"/>
                        </w:rPr>
                        <w:t>1</w:t>
                      </w:r>
                      <w:r w:rsidRPr="009D7EC2">
                        <w:rPr>
                          <w:rFonts w:ascii="Times New Roman" w:hAnsi="Times New Roman" w:cs="Times New Roman"/>
                          <w:i w:val="0"/>
                          <w:iCs w:val="0"/>
                          <w:color w:val="000000" w:themeColor="text1"/>
                          <w:sz w:val="22"/>
                          <w:szCs w:val="22"/>
                        </w:rPr>
                        <w:fldChar w:fldCharType="end"/>
                      </w:r>
                      <w:r w:rsidRPr="009D7EC2">
                        <w:rPr>
                          <w:rFonts w:ascii="Times New Roman" w:hAnsi="Times New Roman" w:cs="Times New Roman"/>
                          <w:i w:val="0"/>
                          <w:iCs w:val="0"/>
                          <w:color w:val="000000" w:themeColor="text1"/>
                          <w:sz w:val="22"/>
                          <w:szCs w:val="22"/>
                        </w:rPr>
                        <w:t xml:space="preserve">. Nilai Rata – Rata </w:t>
                      </w:r>
                      <w:proofErr w:type="spellStart"/>
                      <w:r w:rsidRPr="009D7EC2">
                        <w:rPr>
                          <w:rFonts w:ascii="Times New Roman" w:hAnsi="Times New Roman" w:cs="Times New Roman"/>
                          <w:i w:val="0"/>
                          <w:iCs w:val="0"/>
                          <w:color w:val="000000" w:themeColor="text1"/>
                          <w:sz w:val="22"/>
                          <w:szCs w:val="22"/>
                        </w:rPr>
                        <w:t>Pembiayaan</w:t>
                      </w:r>
                      <w:proofErr w:type="spellEnd"/>
                      <w:r w:rsidRPr="009D7EC2">
                        <w:rPr>
                          <w:rFonts w:ascii="Times New Roman" w:hAnsi="Times New Roman" w:cs="Times New Roman"/>
                          <w:i w:val="0"/>
                          <w:iCs w:val="0"/>
                          <w:color w:val="000000" w:themeColor="text1"/>
                          <w:sz w:val="22"/>
                          <w:szCs w:val="22"/>
                        </w:rPr>
                        <w:t xml:space="preserve"> </w:t>
                      </w:r>
                      <w:proofErr w:type="spellStart"/>
                      <w:r w:rsidRPr="00807BEE">
                        <w:rPr>
                          <w:rFonts w:ascii="Times New Roman" w:hAnsi="Times New Roman" w:cs="Times New Roman"/>
                          <w:color w:val="000000" w:themeColor="text1"/>
                          <w:sz w:val="22"/>
                          <w:szCs w:val="22"/>
                        </w:rPr>
                        <w:t>Mudharabah</w:t>
                      </w:r>
                      <w:proofErr w:type="spellEnd"/>
                      <w:r w:rsidRPr="009D7EC2">
                        <w:rPr>
                          <w:rFonts w:ascii="Times New Roman" w:hAnsi="Times New Roman" w:cs="Times New Roman"/>
                          <w:i w:val="0"/>
                          <w:iCs w:val="0"/>
                          <w:color w:val="000000" w:themeColor="text1"/>
                          <w:sz w:val="22"/>
                          <w:szCs w:val="22"/>
                        </w:rPr>
                        <w:t xml:space="preserve"> 20</w:t>
                      </w:r>
                      <w:r w:rsidR="00A248C4">
                        <w:rPr>
                          <w:rFonts w:ascii="Times New Roman" w:hAnsi="Times New Roman" w:cs="Times New Roman"/>
                          <w:i w:val="0"/>
                          <w:iCs w:val="0"/>
                          <w:color w:val="000000" w:themeColor="text1"/>
                          <w:sz w:val="22"/>
                          <w:szCs w:val="22"/>
                        </w:rPr>
                        <w:t>17</w:t>
                      </w:r>
                      <w:r w:rsidRPr="009D7EC2">
                        <w:rPr>
                          <w:rFonts w:ascii="Times New Roman" w:hAnsi="Times New Roman" w:cs="Times New Roman"/>
                          <w:i w:val="0"/>
                          <w:iCs w:val="0"/>
                          <w:color w:val="000000" w:themeColor="text1"/>
                          <w:sz w:val="22"/>
                          <w:szCs w:val="22"/>
                        </w:rPr>
                        <w:t xml:space="preserve"> </w:t>
                      </w:r>
                      <w:r w:rsidR="009D7EC2" w:rsidRPr="009D7EC2">
                        <w:rPr>
                          <w:rFonts w:ascii="Times New Roman" w:hAnsi="Times New Roman" w:cs="Times New Roman"/>
                          <w:i w:val="0"/>
                          <w:iCs w:val="0"/>
                          <w:color w:val="000000" w:themeColor="text1"/>
                          <w:sz w:val="22"/>
                          <w:szCs w:val="22"/>
                        </w:rPr>
                        <w:t>–</w:t>
                      </w:r>
                      <w:r w:rsidRPr="009D7EC2">
                        <w:rPr>
                          <w:rFonts w:ascii="Times New Roman" w:hAnsi="Times New Roman" w:cs="Times New Roman"/>
                          <w:i w:val="0"/>
                          <w:iCs w:val="0"/>
                          <w:color w:val="000000" w:themeColor="text1"/>
                          <w:sz w:val="22"/>
                          <w:szCs w:val="22"/>
                        </w:rPr>
                        <w:t xml:space="preserve"> 202</w:t>
                      </w:r>
                      <w:r w:rsidR="00A77ADA">
                        <w:rPr>
                          <w:rFonts w:ascii="Times New Roman" w:hAnsi="Times New Roman" w:cs="Times New Roman"/>
                          <w:i w:val="0"/>
                          <w:iCs w:val="0"/>
                          <w:color w:val="000000" w:themeColor="text1"/>
                          <w:sz w:val="22"/>
                          <w:szCs w:val="22"/>
                        </w:rPr>
                        <w:t>2</w:t>
                      </w:r>
                    </w:p>
                    <w:p w14:paraId="76996039" w14:textId="689DB76B" w:rsidR="009D7EC2" w:rsidRPr="009D7EC2" w:rsidRDefault="009D7EC2" w:rsidP="009D7EC2">
                      <w:pPr>
                        <w:spacing w:after="0" w:line="240" w:lineRule="auto"/>
                        <w:jc w:val="center"/>
                        <w:rPr>
                          <w:rFonts w:ascii="Times New Roman" w:hAnsi="Times New Roman" w:cs="Times New Roman"/>
                        </w:rPr>
                      </w:pPr>
                      <w:r>
                        <w:rPr>
                          <w:rFonts w:ascii="Times New Roman" w:hAnsi="Times New Roman" w:cs="Times New Roman"/>
                        </w:rPr>
                        <w:t>(</w:t>
                      </w:r>
                      <w:proofErr w:type="spellStart"/>
                      <w:r w:rsidRPr="009D7EC2">
                        <w:rPr>
                          <w:rFonts w:ascii="Times New Roman" w:hAnsi="Times New Roman" w:cs="Times New Roman"/>
                        </w:rPr>
                        <w:t>Sumber</w:t>
                      </w:r>
                      <w:proofErr w:type="spellEnd"/>
                      <w:r w:rsidRPr="009D7EC2">
                        <w:rPr>
                          <w:rFonts w:ascii="Times New Roman" w:hAnsi="Times New Roman" w:cs="Times New Roman"/>
                        </w:rPr>
                        <w:t xml:space="preserve">: </w:t>
                      </w:r>
                      <w:proofErr w:type="spellStart"/>
                      <w:r w:rsidRPr="009D7EC2">
                        <w:rPr>
                          <w:rFonts w:ascii="Times New Roman" w:hAnsi="Times New Roman" w:cs="Times New Roman"/>
                        </w:rPr>
                        <w:t>Laporan</w:t>
                      </w:r>
                      <w:proofErr w:type="spellEnd"/>
                      <w:r w:rsidRPr="009D7EC2">
                        <w:rPr>
                          <w:rFonts w:ascii="Times New Roman" w:hAnsi="Times New Roman" w:cs="Times New Roman"/>
                        </w:rPr>
                        <w:t xml:space="preserve"> </w:t>
                      </w:r>
                      <w:proofErr w:type="spellStart"/>
                      <w:r w:rsidRPr="009D7EC2">
                        <w:rPr>
                          <w:rFonts w:ascii="Times New Roman" w:hAnsi="Times New Roman" w:cs="Times New Roman"/>
                        </w:rPr>
                        <w:t>Statistik</w:t>
                      </w:r>
                      <w:proofErr w:type="spellEnd"/>
                      <w:r w:rsidRPr="009D7EC2">
                        <w:rPr>
                          <w:rFonts w:ascii="Times New Roman" w:hAnsi="Times New Roman" w:cs="Times New Roman"/>
                        </w:rPr>
                        <w:t xml:space="preserve"> </w:t>
                      </w:r>
                      <w:proofErr w:type="spellStart"/>
                      <w:r w:rsidRPr="009D7EC2">
                        <w:rPr>
                          <w:rFonts w:ascii="Times New Roman" w:hAnsi="Times New Roman" w:cs="Times New Roman"/>
                        </w:rPr>
                        <w:t>Perbankan</w:t>
                      </w:r>
                      <w:proofErr w:type="spellEnd"/>
                      <w:r w:rsidRPr="009D7EC2">
                        <w:rPr>
                          <w:rFonts w:ascii="Times New Roman" w:hAnsi="Times New Roman" w:cs="Times New Roman"/>
                        </w:rPr>
                        <w:t xml:space="preserve"> Syariah OJK 20</w:t>
                      </w:r>
                      <w:r w:rsidR="00A248C4">
                        <w:rPr>
                          <w:rFonts w:ascii="Times New Roman" w:hAnsi="Times New Roman" w:cs="Times New Roman"/>
                        </w:rPr>
                        <w:t>17</w:t>
                      </w:r>
                      <w:r w:rsidRPr="009D7EC2">
                        <w:rPr>
                          <w:rFonts w:ascii="Times New Roman" w:hAnsi="Times New Roman" w:cs="Times New Roman"/>
                        </w:rPr>
                        <w:t xml:space="preserve"> - 202</w:t>
                      </w:r>
                      <w:r w:rsidR="00A77ADA">
                        <w:rPr>
                          <w:rFonts w:ascii="Times New Roman" w:hAnsi="Times New Roman" w:cs="Times New Roman"/>
                        </w:rPr>
                        <w:t>2</w:t>
                      </w:r>
                      <w:r>
                        <w:rPr>
                          <w:rFonts w:ascii="Times New Roman" w:hAnsi="Times New Roman" w:cs="Times New Roman"/>
                        </w:rPr>
                        <w:t>)</w:t>
                      </w:r>
                    </w:p>
                  </w:txbxContent>
                </v:textbox>
                <w10:wrap anchorx="margin"/>
              </v:shape>
            </w:pict>
          </mc:Fallback>
        </mc:AlternateContent>
      </w:r>
    </w:p>
    <w:p w14:paraId="6094B97D" w14:textId="77777777" w:rsidR="00B14ED8" w:rsidRPr="00B14ED8" w:rsidRDefault="00B14ED8" w:rsidP="00B14ED8">
      <w:pPr>
        <w:spacing w:after="0" w:line="360" w:lineRule="auto"/>
        <w:jc w:val="both"/>
        <w:rPr>
          <w:rFonts w:ascii="Times New Roman" w:eastAsia="Times New Roman" w:hAnsi="Times New Roman" w:cs="Times New Roman"/>
          <w:sz w:val="24"/>
          <w:szCs w:val="24"/>
        </w:rPr>
      </w:pPr>
    </w:p>
    <w:p w14:paraId="5D8CDA6D" w14:textId="51B143BD" w:rsidR="002A7E08" w:rsidRPr="00B14ED8" w:rsidRDefault="00FA5FBE" w:rsidP="00B14ED8">
      <w:pPr>
        <w:spacing w:after="0" w:line="360" w:lineRule="auto"/>
        <w:ind w:firstLine="567"/>
        <w:jc w:val="both"/>
        <w:rPr>
          <w:rFonts w:ascii="Times New Roman" w:eastAsia="Times New Roman" w:hAnsi="Times New Roman" w:cs="Times New Roman"/>
          <w:sz w:val="24"/>
          <w:szCs w:val="24"/>
        </w:rPr>
      </w:pPr>
      <w:proofErr w:type="spellStart"/>
      <w:r w:rsidRPr="00B14ED8">
        <w:rPr>
          <w:rFonts w:ascii="Times New Roman" w:eastAsia="Times New Roman" w:hAnsi="Times New Roman" w:cs="Times New Roman"/>
          <w:sz w:val="24"/>
          <w:szCs w:val="24"/>
        </w:rPr>
        <w:t>Berdasarkan</w:t>
      </w:r>
      <w:proofErr w:type="spellEnd"/>
      <w:r w:rsidRPr="00B14ED8">
        <w:rPr>
          <w:rFonts w:ascii="Times New Roman" w:eastAsia="Times New Roman" w:hAnsi="Times New Roman" w:cs="Times New Roman"/>
          <w:sz w:val="24"/>
          <w:szCs w:val="24"/>
        </w:rPr>
        <w:t xml:space="preserve"> pada </w:t>
      </w:r>
      <w:proofErr w:type="spellStart"/>
      <w:r w:rsidRPr="00B14ED8">
        <w:rPr>
          <w:rFonts w:ascii="Times New Roman" w:eastAsia="Times New Roman" w:hAnsi="Times New Roman" w:cs="Times New Roman"/>
          <w:sz w:val="24"/>
          <w:szCs w:val="24"/>
        </w:rPr>
        <w:t>grafik</w:t>
      </w:r>
      <w:proofErr w:type="spellEnd"/>
      <w:r w:rsidRPr="00B14ED8">
        <w:rPr>
          <w:rFonts w:ascii="Times New Roman" w:eastAsia="Times New Roman" w:hAnsi="Times New Roman" w:cs="Times New Roman"/>
          <w:sz w:val="24"/>
          <w:szCs w:val="24"/>
        </w:rPr>
        <w:t xml:space="preserve"> data </w:t>
      </w:r>
      <w:proofErr w:type="spellStart"/>
      <w:r w:rsidRPr="00B14ED8">
        <w:rPr>
          <w:rFonts w:ascii="Times New Roman" w:eastAsia="Times New Roman" w:hAnsi="Times New Roman" w:cs="Times New Roman"/>
          <w:sz w:val="24"/>
          <w:szCs w:val="24"/>
        </w:rPr>
        <w:t>tersebut</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diperoleh</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keterangan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bahwa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tahun</w:t>
      </w:r>
      <w:proofErr w:type="spellEnd"/>
      <w:r w:rsidRPr="00B14ED8">
        <w:rPr>
          <w:rFonts w:ascii="Times New Roman" w:eastAsia="Times New Roman" w:hAnsi="Times New Roman" w:cs="Times New Roman"/>
          <w:sz w:val="24"/>
          <w:szCs w:val="24"/>
        </w:rPr>
        <w:t xml:space="preserve"> 202</w:t>
      </w:r>
      <w:r w:rsidR="001F4D56" w:rsidRPr="00B14ED8">
        <w:rPr>
          <w:rFonts w:ascii="Times New Roman" w:eastAsia="Times New Roman" w:hAnsi="Times New Roman" w:cs="Times New Roman"/>
          <w:sz w:val="24"/>
          <w:szCs w:val="24"/>
        </w:rPr>
        <w:t>2</w:t>
      </w:r>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nilai</w:t>
      </w:r>
      <w:proofErr w:type="spellEnd"/>
      <w:r w:rsidR="00113B08" w:rsidRPr="00B14ED8">
        <w:rPr>
          <w:rFonts w:ascii="Times New Roman" w:eastAsia="Times New Roman" w:hAnsi="Times New Roman" w:cs="Times New Roman"/>
          <w:sz w:val="24"/>
          <w:szCs w:val="24"/>
        </w:rPr>
        <w:t xml:space="preserve"> rata-rata</w:t>
      </w:r>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investasi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i/>
          <w:iCs/>
          <w:sz w:val="24"/>
          <w:szCs w:val="24"/>
        </w:rPr>
        <w:t>mudharabah</w:t>
      </w:r>
      <w:proofErr w:type="spellEnd"/>
      <w:r w:rsidR="00113B08" w:rsidRPr="00B14ED8">
        <w:rPr>
          <w:rFonts w:ascii="Times New Roman" w:eastAsia="Times New Roman" w:hAnsi="Times New Roman" w:cs="Times New Roman"/>
          <w:i/>
          <w:iCs/>
          <w:sz w:val="24"/>
          <w:szCs w:val="24"/>
        </w:rPr>
        <w:t xml:space="preserve"> </w:t>
      </w:r>
      <w:proofErr w:type="spellStart"/>
      <w:r w:rsidR="00D75FB7" w:rsidRPr="00B14ED8">
        <w:rPr>
          <w:rFonts w:ascii="Times New Roman" w:eastAsia="Times New Roman" w:hAnsi="Times New Roman" w:cs="Times New Roman"/>
          <w:sz w:val="24"/>
          <w:szCs w:val="24"/>
        </w:rPr>
        <w:t>sebesar</w:t>
      </w:r>
      <w:proofErr w:type="spellEnd"/>
      <w:r w:rsidR="00D75FB7" w:rsidRPr="00B14ED8">
        <w:rPr>
          <w:rFonts w:ascii="Times New Roman" w:eastAsia="Times New Roman" w:hAnsi="Times New Roman" w:cs="Times New Roman"/>
          <w:sz w:val="24"/>
          <w:szCs w:val="24"/>
        </w:rPr>
        <w:t xml:space="preserve"> 9.</w:t>
      </w:r>
      <w:r w:rsidR="001F4D56" w:rsidRPr="00B14ED8">
        <w:rPr>
          <w:rFonts w:ascii="Times New Roman" w:eastAsia="Times New Roman" w:hAnsi="Times New Roman" w:cs="Times New Roman"/>
          <w:sz w:val="24"/>
          <w:szCs w:val="24"/>
        </w:rPr>
        <w:t>9</w:t>
      </w:r>
      <w:r w:rsidR="00D75FB7" w:rsidRPr="00B14ED8">
        <w:rPr>
          <w:rFonts w:ascii="Times New Roman" w:eastAsia="Times New Roman" w:hAnsi="Times New Roman" w:cs="Times New Roman"/>
          <w:sz w:val="24"/>
          <w:szCs w:val="24"/>
        </w:rPr>
        <w:t>0</w:t>
      </w:r>
      <w:r w:rsidR="001F4D56" w:rsidRPr="00B14ED8">
        <w:rPr>
          <w:rFonts w:ascii="Times New Roman" w:eastAsia="Times New Roman" w:hAnsi="Times New Roman" w:cs="Times New Roman"/>
          <w:sz w:val="24"/>
          <w:szCs w:val="24"/>
        </w:rPr>
        <w:t>4</w:t>
      </w:r>
      <w:r w:rsidR="00D75FB7" w:rsidRPr="00B14ED8">
        <w:rPr>
          <w:rFonts w:ascii="Times New Roman" w:eastAsia="Times New Roman" w:hAnsi="Times New Roman" w:cs="Times New Roman"/>
          <w:sz w:val="24"/>
          <w:szCs w:val="24"/>
        </w:rPr>
        <w:t xml:space="preserve"> </w:t>
      </w:r>
      <w:proofErr w:type="spellStart"/>
      <w:r w:rsidR="00D75FB7" w:rsidRPr="00B14ED8">
        <w:rPr>
          <w:rFonts w:ascii="Times New Roman" w:eastAsia="Times New Roman" w:hAnsi="Times New Roman" w:cs="Times New Roman"/>
          <w:sz w:val="24"/>
          <w:szCs w:val="24"/>
        </w:rPr>
        <w:t>miliar</w:t>
      </w:r>
      <w:proofErr w:type="spellEnd"/>
      <w:r w:rsidR="00D75FB7" w:rsidRPr="00B14ED8">
        <w:rPr>
          <w:rFonts w:ascii="Times New Roman" w:eastAsia="Times New Roman" w:hAnsi="Times New Roman" w:cs="Times New Roman"/>
          <w:sz w:val="24"/>
          <w:szCs w:val="24"/>
        </w:rPr>
        <w:t xml:space="preserve"> rupiah</w:t>
      </w:r>
      <w:r w:rsidR="00B50BA9" w:rsidRPr="00B14ED8">
        <w:rPr>
          <w:rFonts w:ascii="Times New Roman" w:eastAsia="Times New Roman" w:hAnsi="Times New Roman" w:cs="Times New Roman"/>
          <w:sz w:val="24"/>
          <w:szCs w:val="24"/>
        </w:rPr>
        <w:t xml:space="preserve">, </w:t>
      </w:r>
      <w:proofErr w:type="spellStart"/>
      <w:r w:rsidR="00B50BA9" w:rsidRPr="00B14ED8">
        <w:rPr>
          <w:rFonts w:ascii="Times New Roman" w:eastAsia="Times New Roman" w:hAnsi="Times New Roman" w:cs="Times New Roman"/>
          <w:sz w:val="24"/>
          <w:szCs w:val="24"/>
        </w:rPr>
        <w:t>lebih</w:t>
      </w:r>
      <w:proofErr w:type="spellEnd"/>
      <w:r w:rsidR="00B50BA9" w:rsidRPr="00B14ED8">
        <w:rPr>
          <w:rFonts w:ascii="Times New Roman" w:eastAsia="Times New Roman" w:hAnsi="Times New Roman" w:cs="Times New Roman"/>
          <w:sz w:val="24"/>
          <w:szCs w:val="24"/>
        </w:rPr>
        <w:t xml:space="preserve"> </w:t>
      </w:r>
      <w:proofErr w:type="spellStart"/>
      <w:r w:rsidR="00B50BA9" w:rsidRPr="00B14ED8">
        <w:rPr>
          <w:rFonts w:ascii="Times New Roman" w:eastAsia="Times New Roman" w:hAnsi="Times New Roman" w:cs="Times New Roman"/>
          <w:sz w:val="24"/>
          <w:szCs w:val="24"/>
        </w:rPr>
        <w:t>kecil</w:t>
      </w:r>
      <w:proofErr w:type="spellEnd"/>
      <w:r w:rsidR="00B50BA9" w:rsidRPr="00B14ED8">
        <w:rPr>
          <w:rFonts w:ascii="Times New Roman" w:eastAsia="Times New Roman" w:hAnsi="Times New Roman" w:cs="Times New Roman"/>
          <w:sz w:val="24"/>
          <w:szCs w:val="24"/>
        </w:rPr>
        <w:t xml:space="preserve"> </w:t>
      </w:r>
      <w:proofErr w:type="spellStart"/>
      <w:r w:rsidR="00B50BA9" w:rsidRPr="00B14ED8">
        <w:rPr>
          <w:rFonts w:ascii="Times New Roman" w:eastAsia="Times New Roman" w:hAnsi="Times New Roman" w:cs="Times New Roman"/>
          <w:sz w:val="24"/>
          <w:szCs w:val="24"/>
        </w:rPr>
        <w:t>dibandingkan</w:t>
      </w:r>
      <w:proofErr w:type="spellEnd"/>
      <w:r w:rsidR="00B50BA9" w:rsidRPr="00B14ED8">
        <w:rPr>
          <w:rFonts w:ascii="Times New Roman" w:eastAsia="Times New Roman" w:hAnsi="Times New Roman" w:cs="Times New Roman"/>
          <w:sz w:val="24"/>
          <w:szCs w:val="24"/>
        </w:rPr>
        <w:t xml:space="preserve"> </w:t>
      </w:r>
      <w:proofErr w:type="spellStart"/>
      <w:r w:rsidR="00B61C75" w:rsidRPr="00B14ED8">
        <w:rPr>
          <w:rFonts w:ascii="Times New Roman" w:eastAsia="Times New Roman" w:hAnsi="Times New Roman" w:cs="Times New Roman"/>
          <w:sz w:val="24"/>
          <w:szCs w:val="24"/>
        </w:rPr>
        <w:t>nilai</w:t>
      </w:r>
      <w:proofErr w:type="spellEnd"/>
      <w:r w:rsidR="00B61C75" w:rsidRPr="00B14ED8">
        <w:rPr>
          <w:rFonts w:ascii="Times New Roman" w:eastAsia="Times New Roman" w:hAnsi="Times New Roman" w:cs="Times New Roman"/>
          <w:sz w:val="24"/>
          <w:szCs w:val="24"/>
        </w:rPr>
        <w:t xml:space="preserve"> </w:t>
      </w:r>
      <w:proofErr w:type="spellStart"/>
      <w:r w:rsidR="00B61C75" w:rsidRPr="00B14ED8">
        <w:rPr>
          <w:rFonts w:ascii="Times New Roman" w:eastAsia="Times New Roman" w:hAnsi="Times New Roman" w:cs="Times New Roman"/>
          <w:sz w:val="24"/>
          <w:szCs w:val="24"/>
        </w:rPr>
        <w:t>investasi</w:t>
      </w:r>
      <w:proofErr w:type="spellEnd"/>
      <w:r w:rsidR="00B61C75" w:rsidRPr="00B14ED8">
        <w:rPr>
          <w:rFonts w:ascii="Times New Roman" w:eastAsia="Times New Roman" w:hAnsi="Times New Roman" w:cs="Times New Roman"/>
          <w:sz w:val="24"/>
          <w:szCs w:val="24"/>
        </w:rPr>
        <w:t xml:space="preserve"> </w:t>
      </w:r>
      <w:proofErr w:type="spellStart"/>
      <w:r w:rsidR="00B61C75" w:rsidRPr="00B14ED8">
        <w:rPr>
          <w:rFonts w:ascii="Times New Roman" w:eastAsia="Times New Roman" w:hAnsi="Times New Roman" w:cs="Times New Roman"/>
          <w:i/>
          <w:iCs/>
          <w:sz w:val="24"/>
          <w:szCs w:val="24"/>
        </w:rPr>
        <w:t>mudharabah</w:t>
      </w:r>
      <w:proofErr w:type="spellEnd"/>
      <w:r w:rsidR="00B61C75" w:rsidRPr="00B14ED8">
        <w:rPr>
          <w:rFonts w:ascii="Times New Roman" w:eastAsia="Times New Roman" w:hAnsi="Times New Roman" w:cs="Times New Roman"/>
          <w:i/>
          <w:iCs/>
          <w:sz w:val="24"/>
          <w:szCs w:val="24"/>
        </w:rPr>
        <w:t xml:space="preserve"> </w:t>
      </w:r>
      <w:r w:rsidR="00B61C75" w:rsidRPr="00B14ED8">
        <w:rPr>
          <w:rFonts w:ascii="Times New Roman" w:eastAsia="Times New Roman" w:hAnsi="Times New Roman" w:cs="Times New Roman"/>
          <w:sz w:val="24"/>
          <w:szCs w:val="24"/>
        </w:rPr>
        <w:t xml:space="preserve">pada </w:t>
      </w:r>
      <w:proofErr w:type="spellStart"/>
      <w:r w:rsidR="00B50BA9" w:rsidRPr="00B14ED8">
        <w:rPr>
          <w:rFonts w:ascii="Times New Roman" w:eastAsia="Times New Roman" w:hAnsi="Times New Roman" w:cs="Times New Roman"/>
          <w:sz w:val="24"/>
          <w:szCs w:val="24"/>
        </w:rPr>
        <w:t>tahun</w:t>
      </w:r>
      <w:proofErr w:type="spellEnd"/>
      <w:r w:rsidR="00B50BA9" w:rsidRPr="00B14ED8">
        <w:rPr>
          <w:rFonts w:ascii="Times New Roman" w:eastAsia="Times New Roman" w:hAnsi="Times New Roman" w:cs="Times New Roman"/>
          <w:sz w:val="24"/>
          <w:szCs w:val="24"/>
        </w:rPr>
        <w:t xml:space="preserve"> </w:t>
      </w:r>
      <w:r w:rsidR="00807BEE" w:rsidRPr="00B14ED8">
        <w:rPr>
          <w:rFonts w:ascii="Times New Roman" w:eastAsia="Times New Roman" w:hAnsi="Times New Roman" w:cs="Times New Roman"/>
          <w:sz w:val="24"/>
          <w:szCs w:val="24"/>
        </w:rPr>
        <w:t>2017</w:t>
      </w:r>
      <w:r w:rsidR="00061EAF" w:rsidRPr="00B14ED8">
        <w:rPr>
          <w:rFonts w:ascii="Times New Roman" w:eastAsia="Times New Roman" w:hAnsi="Times New Roman" w:cs="Times New Roman"/>
          <w:sz w:val="24"/>
          <w:szCs w:val="24"/>
        </w:rPr>
        <w:t xml:space="preserve"> </w:t>
      </w:r>
      <w:proofErr w:type="spellStart"/>
      <w:r w:rsidR="00061EAF" w:rsidRPr="00B14ED8">
        <w:rPr>
          <w:rFonts w:ascii="Times New Roman" w:eastAsia="Times New Roman" w:hAnsi="Times New Roman" w:cs="Times New Roman"/>
          <w:sz w:val="24"/>
          <w:szCs w:val="24"/>
        </w:rPr>
        <w:t>dimana</w:t>
      </w:r>
      <w:proofErr w:type="spellEnd"/>
      <w:r w:rsidR="00061EAF" w:rsidRPr="00B14ED8">
        <w:rPr>
          <w:rFonts w:ascii="Times New Roman" w:eastAsia="Times New Roman" w:hAnsi="Times New Roman" w:cs="Times New Roman"/>
          <w:sz w:val="24"/>
          <w:szCs w:val="24"/>
        </w:rPr>
        <w:t xml:space="preserve"> </w:t>
      </w:r>
      <w:proofErr w:type="spellStart"/>
      <w:r w:rsidR="00061EAF" w:rsidRPr="00B14ED8">
        <w:rPr>
          <w:rFonts w:ascii="Times New Roman" w:eastAsia="Times New Roman" w:hAnsi="Times New Roman" w:cs="Times New Roman"/>
          <w:sz w:val="24"/>
          <w:szCs w:val="24"/>
        </w:rPr>
        <w:t>angka</w:t>
      </w:r>
      <w:proofErr w:type="spellEnd"/>
      <w:r w:rsidR="00061EAF" w:rsidRPr="00B14ED8">
        <w:rPr>
          <w:rFonts w:ascii="Times New Roman" w:eastAsia="Times New Roman" w:hAnsi="Times New Roman" w:cs="Times New Roman"/>
          <w:sz w:val="24"/>
          <w:szCs w:val="24"/>
        </w:rPr>
        <w:t xml:space="preserve"> </w:t>
      </w:r>
      <w:proofErr w:type="spellStart"/>
      <w:r w:rsidR="00061EAF" w:rsidRPr="00B14ED8">
        <w:rPr>
          <w:rFonts w:ascii="Times New Roman" w:eastAsia="Times New Roman" w:hAnsi="Times New Roman" w:cs="Times New Roman"/>
          <w:sz w:val="24"/>
          <w:szCs w:val="24"/>
        </w:rPr>
        <w:t>investasi</w:t>
      </w:r>
      <w:proofErr w:type="spellEnd"/>
      <w:r w:rsidR="00061EAF" w:rsidRPr="00B14ED8">
        <w:rPr>
          <w:rFonts w:ascii="Times New Roman" w:eastAsia="Times New Roman" w:hAnsi="Times New Roman" w:cs="Times New Roman"/>
          <w:sz w:val="24"/>
          <w:szCs w:val="24"/>
        </w:rPr>
        <w:t xml:space="preserve"> </w:t>
      </w:r>
      <w:proofErr w:type="spellStart"/>
      <w:r w:rsidR="00061EAF" w:rsidRPr="00B14ED8">
        <w:rPr>
          <w:rFonts w:ascii="Times New Roman" w:eastAsia="Times New Roman" w:hAnsi="Times New Roman" w:cs="Times New Roman"/>
          <w:sz w:val="24"/>
          <w:szCs w:val="24"/>
        </w:rPr>
        <w:t>pembiayaan</w:t>
      </w:r>
      <w:proofErr w:type="spellEnd"/>
      <w:r w:rsidR="00061EAF" w:rsidRPr="00B14ED8">
        <w:rPr>
          <w:rFonts w:ascii="Times New Roman" w:eastAsia="Times New Roman" w:hAnsi="Times New Roman" w:cs="Times New Roman"/>
          <w:sz w:val="24"/>
          <w:szCs w:val="24"/>
        </w:rPr>
        <w:t xml:space="preserve"> </w:t>
      </w:r>
      <w:proofErr w:type="spellStart"/>
      <w:r w:rsidR="00061EAF" w:rsidRPr="00B14ED8">
        <w:rPr>
          <w:rFonts w:ascii="Times New Roman" w:eastAsia="Times New Roman" w:hAnsi="Times New Roman" w:cs="Times New Roman"/>
          <w:i/>
          <w:iCs/>
          <w:sz w:val="24"/>
          <w:szCs w:val="24"/>
        </w:rPr>
        <w:t>mudharabah</w:t>
      </w:r>
      <w:proofErr w:type="spellEnd"/>
      <w:r w:rsidR="00061EAF" w:rsidRPr="00B14ED8">
        <w:rPr>
          <w:rFonts w:ascii="Times New Roman" w:eastAsia="Times New Roman" w:hAnsi="Times New Roman" w:cs="Times New Roman"/>
          <w:i/>
          <w:iCs/>
          <w:sz w:val="24"/>
          <w:szCs w:val="24"/>
        </w:rPr>
        <w:t xml:space="preserve"> </w:t>
      </w:r>
      <w:r w:rsidR="00061EAF" w:rsidRPr="00B14ED8">
        <w:rPr>
          <w:rFonts w:ascii="Times New Roman" w:eastAsia="Times New Roman" w:hAnsi="Times New Roman" w:cs="Times New Roman"/>
          <w:sz w:val="24"/>
          <w:szCs w:val="24"/>
        </w:rPr>
        <w:t xml:space="preserve">di </w:t>
      </w:r>
      <w:proofErr w:type="spellStart"/>
      <w:r w:rsidR="00061EAF" w:rsidRPr="00B14ED8">
        <w:rPr>
          <w:rFonts w:ascii="Times New Roman" w:eastAsia="Times New Roman" w:hAnsi="Times New Roman" w:cs="Times New Roman"/>
          <w:sz w:val="24"/>
          <w:szCs w:val="24"/>
        </w:rPr>
        <w:t>tahun</w:t>
      </w:r>
      <w:proofErr w:type="spellEnd"/>
      <w:r w:rsidR="00061EAF" w:rsidRPr="00B14ED8">
        <w:rPr>
          <w:rFonts w:ascii="Times New Roman" w:eastAsia="Times New Roman" w:hAnsi="Times New Roman" w:cs="Times New Roman"/>
          <w:sz w:val="24"/>
          <w:szCs w:val="24"/>
        </w:rPr>
        <w:t xml:space="preserve"> 20</w:t>
      </w:r>
      <w:r w:rsidR="00800C20" w:rsidRPr="00B14ED8">
        <w:rPr>
          <w:rFonts w:ascii="Times New Roman" w:eastAsia="Times New Roman" w:hAnsi="Times New Roman" w:cs="Times New Roman"/>
          <w:sz w:val="24"/>
          <w:szCs w:val="24"/>
        </w:rPr>
        <w:t>17</w:t>
      </w:r>
      <w:r w:rsidR="00061EAF" w:rsidRPr="00B14ED8">
        <w:rPr>
          <w:rFonts w:ascii="Times New Roman" w:eastAsia="Times New Roman" w:hAnsi="Times New Roman" w:cs="Times New Roman"/>
          <w:sz w:val="24"/>
          <w:szCs w:val="24"/>
        </w:rPr>
        <w:t xml:space="preserve"> </w:t>
      </w:r>
      <w:proofErr w:type="spellStart"/>
      <w:r w:rsidR="00061EAF" w:rsidRPr="00B14ED8">
        <w:rPr>
          <w:rFonts w:ascii="Times New Roman" w:eastAsia="Times New Roman" w:hAnsi="Times New Roman" w:cs="Times New Roman"/>
          <w:sz w:val="24"/>
          <w:szCs w:val="24"/>
        </w:rPr>
        <w:t>mencapai</w:t>
      </w:r>
      <w:proofErr w:type="spellEnd"/>
      <w:r w:rsidR="00061EAF" w:rsidRPr="00B14ED8">
        <w:rPr>
          <w:rFonts w:ascii="Times New Roman" w:eastAsia="Times New Roman" w:hAnsi="Times New Roman" w:cs="Times New Roman"/>
          <w:sz w:val="24"/>
          <w:szCs w:val="24"/>
        </w:rPr>
        <w:t xml:space="preserve"> 1</w:t>
      </w:r>
      <w:r w:rsidR="0039258A" w:rsidRPr="00B14ED8">
        <w:rPr>
          <w:rFonts w:ascii="Times New Roman" w:eastAsia="Times New Roman" w:hAnsi="Times New Roman" w:cs="Times New Roman"/>
          <w:sz w:val="24"/>
          <w:szCs w:val="24"/>
        </w:rPr>
        <w:t>5</w:t>
      </w:r>
      <w:r w:rsidR="00061EAF" w:rsidRPr="00B14ED8">
        <w:rPr>
          <w:rFonts w:ascii="Times New Roman" w:eastAsia="Times New Roman" w:hAnsi="Times New Roman" w:cs="Times New Roman"/>
          <w:sz w:val="24"/>
          <w:szCs w:val="24"/>
        </w:rPr>
        <w:t>.</w:t>
      </w:r>
      <w:r w:rsidR="0039258A" w:rsidRPr="00B14ED8">
        <w:rPr>
          <w:rFonts w:ascii="Times New Roman" w:eastAsia="Times New Roman" w:hAnsi="Times New Roman" w:cs="Times New Roman"/>
          <w:sz w:val="24"/>
          <w:szCs w:val="24"/>
        </w:rPr>
        <w:t>984</w:t>
      </w:r>
      <w:r w:rsidR="00061EAF" w:rsidRPr="00B14ED8">
        <w:rPr>
          <w:rFonts w:ascii="Times New Roman" w:eastAsia="Times New Roman" w:hAnsi="Times New Roman" w:cs="Times New Roman"/>
          <w:sz w:val="24"/>
          <w:szCs w:val="24"/>
        </w:rPr>
        <w:t xml:space="preserve"> </w:t>
      </w:r>
      <w:proofErr w:type="spellStart"/>
      <w:r w:rsidR="00061EAF" w:rsidRPr="00B14ED8">
        <w:rPr>
          <w:rFonts w:ascii="Times New Roman" w:eastAsia="Times New Roman" w:hAnsi="Times New Roman" w:cs="Times New Roman"/>
          <w:sz w:val="24"/>
          <w:szCs w:val="24"/>
        </w:rPr>
        <w:t>miliar</w:t>
      </w:r>
      <w:proofErr w:type="spellEnd"/>
      <w:r w:rsidR="00061EAF" w:rsidRPr="00B14ED8">
        <w:rPr>
          <w:rFonts w:ascii="Times New Roman" w:eastAsia="Times New Roman" w:hAnsi="Times New Roman" w:cs="Times New Roman"/>
          <w:sz w:val="24"/>
          <w:szCs w:val="24"/>
        </w:rPr>
        <w:t xml:space="preserve"> rupiah</w:t>
      </w:r>
      <w:r w:rsidR="00B50BA9" w:rsidRPr="00B14ED8">
        <w:rPr>
          <w:rFonts w:ascii="Times New Roman" w:eastAsia="Times New Roman" w:hAnsi="Times New Roman" w:cs="Times New Roman"/>
          <w:sz w:val="24"/>
          <w:szCs w:val="24"/>
        </w:rPr>
        <w:t>.</w:t>
      </w:r>
      <w:r w:rsidR="006F4192" w:rsidRPr="00B14ED8">
        <w:rPr>
          <w:rFonts w:ascii="Times New Roman" w:eastAsia="Times New Roman" w:hAnsi="Times New Roman" w:cs="Times New Roman"/>
          <w:sz w:val="24"/>
          <w:szCs w:val="24"/>
        </w:rPr>
        <w:t xml:space="preserve"> </w:t>
      </w:r>
      <w:r w:rsidR="00B32418" w:rsidRPr="00B14ED8">
        <w:rPr>
          <w:rFonts w:ascii="Times New Roman" w:eastAsia="Times New Roman" w:hAnsi="Times New Roman" w:cs="Times New Roman"/>
          <w:sz w:val="24"/>
          <w:szCs w:val="24"/>
        </w:rPr>
        <w:t xml:space="preserve">Dari data </w:t>
      </w:r>
      <w:proofErr w:type="spellStart"/>
      <w:r w:rsidR="00B32418" w:rsidRPr="00B14ED8">
        <w:rPr>
          <w:rFonts w:ascii="Times New Roman" w:eastAsia="Times New Roman" w:hAnsi="Times New Roman" w:cs="Times New Roman"/>
          <w:sz w:val="24"/>
          <w:szCs w:val="24"/>
        </w:rPr>
        <w:t>tersebut</w:t>
      </w:r>
      <w:proofErr w:type="spellEnd"/>
      <w:r w:rsidR="00B32418" w:rsidRPr="00B14ED8">
        <w:rPr>
          <w:rFonts w:ascii="Times New Roman" w:eastAsia="Times New Roman" w:hAnsi="Times New Roman" w:cs="Times New Roman"/>
          <w:sz w:val="24"/>
          <w:szCs w:val="24"/>
        </w:rPr>
        <w:t xml:space="preserve"> </w:t>
      </w:r>
      <w:proofErr w:type="spellStart"/>
      <w:r w:rsidR="00B32418" w:rsidRPr="00B14ED8">
        <w:rPr>
          <w:rFonts w:ascii="Times New Roman" w:eastAsia="Times New Roman" w:hAnsi="Times New Roman" w:cs="Times New Roman"/>
          <w:sz w:val="24"/>
          <w:szCs w:val="24"/>
        </w:rPr>
        <w:t>maka</w:t>
      </w:r>
      <w:proofErr w:type="spellEnd"/>
      <w:r w:rsidR="00B32418" w:rsidRPr="00B14ED8">
        <w:rPr>
          <w:rFonts w:ascii="Times New Roman" w:eastAsia="Times New Roman" w:hAnsi="Times New Roman" w:cs="Times New Roman"/>
          <w:sz w:val="24"/>
          <w:szCs w:val="24"/>
        </w:rPr>
        <w:t xml:space="preserve"> </w:t>
      </w:r>
      <w:proofErr w:type="spellStart"/>
      <w:r w:rsidR="00B32418" w:rsidRPr="00B14ED8">
        <w:rPr>
          <w:rFonts w:ascii="Times New Roman" w:eastAsia="Times New Roman" w:hAnsi="Times New Roman" w:cs="Times New Roman"/>
          <w:sz w:val="24"/>
          <w:szCs w:val="24"/>
        </w:rPr>
        <w:t>dapat</w:t>
      </w:r>
      <w:proofErr w:type="spellEnd"/>
      <w:r w:rsidR="00B32418" w:rsidRPr="00B14ED8">
        <w:rPr>
          <w:rFonts w:ascii="Times New Roman" w:eastAsia="Times New Roman" w:hAnsi="Times New Roman" w:cs="Times New Roman"/>
          <w:sz w:val="24"/>
          <w:szCs w:val="24"/>
        </w:rPr>
        <w:t xml:space="preserve"> </w:t>
      </w:r>
      <w:proofErr w:type="spellStart"/>
      <w:r w:rsidR="00B32418" w:rsidRPr="00B14ED8">
        <w:rPr>
          <w:rFonts w:ascii="Times New Roman" w:eastAsia="Times New Roman" w:hAnsi="Times New Roman" w:cs="Times New Roman"/>
          <w:sz w:val="24"/>
          <w:szCs w:val="24"/>
        </w:rPr>
        <w:t>disimpulkan</w:t>
      </w:r>
      <w:proofErr w:type="spellEnd"/>
      <w:r w:rsidR="00B32418" w:rsidRPr="00B14ED8">
        <w:rPr>
          <w:rFonts w:ascii="Times New Roman" w:eastAsia="Times New Roman" w:hAnsi="Times New Roman" w:cs="Times New Roman"/>
          <w:sz w:val="24"/>
          <w:szCs w:val="24"/>
        </w:rPr>
        <w:t xml:space="preserve"> </w:t>
      </w:r>
      <w:proofErr w:type="spellStart"/>
      <w:r w:rsidR="00B32418" w:rsidRPr="00B14ED8">
        <w:rPr>
          <w:rFonts w:ascii="Times New Roman" w:eastAsia="Times New Roman" w:hAnsi="Times New Roman" w:cs="Times New Roman"/>
          <w:sz w:val="24"/>
          <w:szCs w:val="24"/>
        </w:rPr>
        <w:t>bahwa</w:t>
      </w:r>
      <w:proofErr w:type="spellEnd"/>
      <w:r w:rsidR="0001054E" w:rsidRPr="00B14ED8">
        <w:rPr>
          <w:rFonts w:ascii="Times New Roman" w:eastAsia="Times New Roman" w:hAnsi="Times New Roman" w:cs="Times New Roman"/>
          <w:sz w:val="24"/>
          <w:szCs w:val="24"/>
        </w:rPr>
        <w:t xml:space="preserve">, </w:t>
      </w:r>
      <w:proofErr w:type="spellStart"/>
      <w:r w:rsidR="00681168" w:rsidRPr="00B14ED8">
        <w:rPr>
          <w:rFonts w:ascii="Times New Roman" w:eastAsia="Times New Roman" w:hAnsi="Times New Roman" w:cs="Times New Roman"/>
          <w:sz w:val="24"/>
          <w:szCs w:val="24"/>
        </w:rPr>
        <w:t>lembaga</w:t>
      </w:r>
      <w:proofErr w:type="spellEnd"/>
      <w:r w:rsidR="00681168" w:rsidRPr="00B14ED8">
        <w:rPr>
          <w:rFonts w:ascii="Times New Roman" w:eastAsia="Times New Roman" w:hAnsi="Times New Roman" w:cs="Times New Roman"/>
          <w:sz w:val="24"/>
          <w:szCs w:val="24"/>
        </w:rPr>
        <w:t xml:space="preserve"> – </w:t>
      </w:r>
      <w:proofErr w:type="spellStart"/>
      <w:r w:rsidR="00681168" w:rsidRPr="00B14ED8">
        <w:rPr>
          <w:rFonts w:ascii="Times New Roman" w:eastAsia="Times New Roman" w:hAnsi="Times New Roman" w:cs="Times New Roman"/>
          <w:sz w:val="24"/>
          <w:szCs w:val="24"/>
        </w:rPr>
        <w:t>lembaga</w:t>
      </w:r>
      <w:proofErr w:type="spellEnd"/>
      <w:r w:rsidR="00681168" w:rsidRPr="00B14ED8">
        <w:rPr>
          <w:rFonts w:ascii="Times New Roman" w:eastAsia="Times New Roman" w:hAnsi="Times New Roman" w:cs="Times New Roman"/>
          <w:sz w:val="24"/>
          <w:szCs w:val="24"/>
        </w:rPr>
        <w:t xml:space="preserve"> </w:t>
      </w:r>
      <w:proofErr w:type="spellStart"/>
      <w:r w:rsidR="00681168" w:rsidRPr="00B14ED8">
        <w:rPr>
          <w:rFonts w:ascii="Times New Roman" w:eastAsia="Times New Roman" w:hAnsi="Times New Roman" w:cs="Times New Roman"/>
          <w:sz w:val="24"/>
          <w:szCs w:val="24"/>
        </w:rPr>
        <w:t>perbankan</w:t>
      </w:r>
      <w:proofErr w:type="spellEnd"/>
      <w:r w:rsidR="00681168" w:rsidRPr="00B14ED8">
        <w:rPr>
          <w:rFonts w:ascii="Times New Roman" w:eastAsia="Times New Roman" w:hAnsi="Times New Roman" w:cs="Times New Roman"/>
          <w:sz w:val="24"/>
          <w:szCs w:val="24"/>
        </w:rPr>
        <w:t xml:space="preserve"> </w:t>
      </w:r>
      <w:proofErr w:type="spellStart"/>
      <w:r w:rsidR="00681168" w:rsidRPr="00B14ED8">
        <w:rPr>
          <w:rFonts w:ascii="Times New Roman" w:eastAsia="Times New Roman" w:hAnsi="Times New Roman" w:cs="Times New Roman"/>
          <w:sz w:val="24"/>
          <w:szCs w:val="24"/>
        </w:rPr>
        <w:t>syariah</w:t>
      </w:r>
      <w:proofErr w:type="spellEnd"/>
      <w:r w:rsidR="00681168" w:rsidRPr="00B14ED8">
        <w:rPr>
          <w:rFonts w:ascii="Times New Roman" w:eastAsia="Times New Roman" w:hAnsi="Times New Roman" w:cs="Times New Roman"/>
          <w:sz w:val="24"/>
          <w:szCs w:val="24"/>
        </w:rPr>
        <w:t xml:space="preserve"> di Indonesia </w:t>
      </w:r>
      <w:proofErr w:type="spellStart"/>
      <w:r w:rsidR="00681168" w:rsidRPr="00B14ED8">
        <w:rPr>
          <w:rFonts w:ascii="Times New Roman" w:eastAsia="Times New Roman" w:hAnsi="Times New Roman" w:cs="Times New Roman"/>
          <w:sz w:val="24"/>
          <w:szCs w:val="24"/>
        </w:rPr>
        <w:t>cenderung</w:t>
      </w:r>
      <w:proofErr w:type="spellEnd"/>
      <w:r w:rsidR="00681168" w:rsidRPr="00B14ED8">
        <w:rPr>
          <w:rFonts w:ascii="Times New Roman" w:eastAsia="Times New Roman" w:hAnsi="Times New Roman" w:cs="Times New Roman"/>
          <w:sz w:val="24"/>
          <w:szCs w:val="24"/>
        </w:rPr>
        <w:t xml:space="preserve"> </w:t>
      </w:r>
      <w:proofErr w:type="spellStart"/>
      <w:r w:rsidR="00681168" w:rsidRPr="00B14ED8">
        <w:rPr>
          <w:rFonts w:ascii="Times New Roman" w:eastAsia="Times New Roman" w:hAnsi="Times New Roman" w:cs="Times New Roman"/>
          <w:sz w:val="24"/>
          <w:szCs w:val="24"/>
        </w:rPr>
        <w:t>mengurangi</w:t>
      </w:r>
      <w:proofErr w:type="spellEnd"/>
      <w:r w:rsidR="00681168" w:rsidRPr="00B14ED8">
        <w:rPr>
          <w:rFonts w:ascii="Times New Roman" w:eastAsia="Times New Roman" w:hAnsi="Times New Roman" w:cs="Times New Roman"/>
          <w:sz w:val="24"/>
          <w:szCs w:val="24"/>
        </w:rPr>
        <w:t xml:space="preserve"> </w:t>
      </w:r>
      <w:proofErr w:type="spellStart"/>
      <w:r w:rsidR="00681168" w:rsidRPr="00B14ED8">
        <w:rPr>
          <w:rFonts w:ascii="Times New Roman" w:eastAsia="Times New Roman" w:hAnsi="Times New Roman" w:cs="Times New Roman"/>
          <w:sz w:val="24"/>
          <w:szCs w:val="24"/>
        </w:rPr>
        <w:t>angka</w:t>
      </w:r>
      <w:proofErr w:type="spellEnd"/>
      <w:r w:rsidR="00681168" w:rsidRPr="00B14ED8">
        <w:rPr>
          <w:rFonts w:ascii="Times New Roman" w:eastAsia="Times New Roman" w:hAnsi="Times New Roman" w:cs="Times New Roman"/>
          <w:sz w:val="24"/>
          <w:szCs w:val="24"/>
        </w:rPr>
        <w:t xml:space="preserve"> </w:t>
      </w:r>
      <w:proofErr w:type="spellStart"/>
      <w:r w:rsidR="00681168" w:rsidRPr="00B14ED8">
        <w:rPr>
          <w:rFonts w:ascii="Times New Roman" w:eastAsia="Times New Roman" w:hAnsi="Times New Roman" w:cs="Times New Roman"/>
          <w:sz w:val="24"/>
          <w:szCs w:val="24"/>
        </w:rPr>
        <w:t>investasi</w:t>
      </w:r>
      <w:proofErr w:type="spellEnd"/>
      <w:r w:rsidR="00681168" w:rsidRPr="00B14ED8">
        <w:rPr>
          <w:rFonts w:ascii="Times New Roman" w:eastAsia="Times New Roman" w:hAnsi="Times New Roman" w:cs="Times New Roman"/>
          <w:sz w:val="24"/>
          <w:szCs w:val="24"/>
        </w:rPr>
        <w:t xml:space="preserve"> </w:t>
      </w:r>
      <w:r w:rsidR="00636061" w:rsidRPr="00B14ED8">
        <w:rPr>
          <w:rFonts w:ascii="Times New Roman" w:eastAsia="Times New Roman" w:hAnsi="Times New Roman" w:cs="Times New Roman"/>
          <w:sz w:val="24"/>
          <w:szCs w:val="24"/>
        </w:rPr>
        <w:t xml:space="preserve">di </w:t>
      </w:r>
      <w:proofErr w:type="spellStart"/>
      <w:r w:rsidR="00636061" w:rsidRPr="00B14ED8">
        <w:rPr>
          <w:rFonts w:ascii="Times New Roman" w:eastAsia="Times New Roman" w:hAnsi="Times New Roman" w:cs="Times New Roman"/>
          <w:sz w:val="24"/>
          <w:szCs w:val="24"/>
        </w:rPr>
        <w:t>dalam</w:t>
      </w:r>
      <w:proofErr w:type="spellEnd"/>
      <w:r w:rsidR="00636061" w:rsidRPr="00B14ED8">
        <w:rPr>
          <w:rFonts w:ascii="Times New Roman" w:eastAsia="Times New Roman" w:hAnsi="Times New Roman" w:cs="Times New Roman"/>
          <w:sz w:val="24"/>
          <w:szCs w:val="24"/>
        </w:rPr>
        <w:t xml:space="preserve"> </w:t>
      </w:r>
      <w:proofErr w:type="spellStart"/>
      <w:r w:rsidR="00636061" w:rsidRPr="00B14ED8">
        <w:rPr>
          <w:rFonts w:ascii="Times New Roman" w:eastAsia="Times New Roman" w:hAnsi="Times New Roman" w:cs="Times New Roman"/>
          <w:sz w:val="24"/>
          <w:szCs w:val="24"/>
        </w:rPr>
        <w:t>pembiayaan</w:t>
      </w:r>
      <w:proofErr w:type="spellEnd"/>
      <w:r w:rsidR="00636061" w:rsidRPr="00B14ED8">
        <w:rPr>
          <w:rFonts w:ascii="Times New Roman" w:eastAsia="Times New Roman" w:hAnsi="Times New Roman" w:cs="Times New Roman"/>
          <w:sz w:val="24"/>
          <w:szCs w:val="24"/>
        </w:rPr>
        <w:t xml:space="preserve"> </w:t>
      </w:r>
      <w:proofErr w:type="spellStart"/>
      <w:r w:rsidR="00636061" w:rsidRPr="00B14ED8">
        <w:rPr>
          <w:rFonts w:ascii="Times New Roman" w:eastAsia="Times New Roman" w:hAnsi="Times New Roman" w:cs="Times New Roman"/>
          <w:i/>
          <w:iCs/>
          <w:sz w:val="24"/>
          <w:szCs w:val="24"/>
        </w:rPr>
        <w:t>mudharabah</w:t>
      </w:r>
      <w:proofErr w:type="spellEnd"/>
      <w:r w:rsidR="00693F0E" w:rsidRPr="00B14ED8">
        <w:rPr>
          <w:rFonts w:ascii="Times New Roman" w:eastAsia="Times New Roman" w:hAnsi="Times New Roman" w:cs="Times New Roman"/>
          <w:sz w:val="24"/>
          <w:szCs w:val="24"/>
        </w:rPr>
        <w:t>.</w:t>
      </w:r>
      <w:r w:rsidR="009C20DA" w:rsidRPr="00B14ED8">
        <w:rPr>
          <w:rFonts w:ascii="Times New Roman" w:eastAsia="Times New Roman" w:hAnsi="Times New Roman" w:cs="Times New Roman"/>
          <w:sz w:val="24"/>
          <w:szCs w:val="24"/>
        </w:rPr>
        <w:t xml:space="preserve"> Akan </w:t>
      </w:r>
      <w:proofErr w:type="spellStart"/>
      <w:r w:rsidR="009C20DA" w:rsidRPr="00B14ED8">
        <w:rPr>
          <w:rFonts w:ascii="Times New Roman" w:eastAsia="Times New Roman" w:hAnsi="Times New Roman" w:cs="Times New Roman"/>
          <w:sz w:val="24"/>
          <w:szCs w:val="24"/>
        </w:rPr>
        <w:t>tetapi</w:t>
      </w:r>
      <w:proofErr w:type="spellEnd"/>
      <w:r w:rsidR="009C20DA" w:rsidRPr="00B14ED8">
        <w:rPr>
          <w:rFonts w:ascii="Times New Roman" w:eastAsia="Times New Roman" w:hAnsi="Times New Roman" w:cs="Times New Roman"/>
          <w:sz w:val="24"/>
          <w:szCs w:val="24"/>
        </w:rPr>
        <w:t xml:space="preserve">, </w:t>
      </w:r>
      <w:proofErr w:type="spellStart"/>
      <w:r w:rsidR="009C20DA" w:rsidRPr="00B14ED8">
        <w:rPr>
          <w:rFonts w:ascii="Times New Roman" w:eastAsia="Times New Roman" w:hAnsi="Times New Roman" w:cs="Times New Roman"/>
          <w:sz w:val="24"/>
          <w:szCs w:val="24"/>
        </w:rPr>
        <w:t>nilai</w:t>
      </w:r>
      <w:proofErr w:type="spellEnd"/>
      <w:r w:rsidR="009C20DA" w:rsidRPr="00B14ED8">
        <w:rPr>
          <w:rFonts w:ascii="Times New Roman" w:eastAsia="Times New Roman" w:hAnsi="Times New Roman" w:cs="Times New Roman"/>
          <w:sz w:val="24"/>
          <w:szCs w:val="24"/>
        </w:rPr>
        <w:t xml:space="preserve"> </w:t>
      </w:r>
      <w:proofErr w:type="spellStart"/>
      <w:r w:rsidR="009C20DA" w:rsidRPr="00B14ED8">
        <w:rPr>
          <w:rFonts w:ascii="Times New Roman" w:eastAsia="Times New Roman" w:hAnsi="Times New Roman" w:cs="Times New Roman"/>
          <w:sz w:val="24"/>
          <w:szCs w:val="24"/>
        </w:rPr>
        <w:t>investasi</w:t>
      </w:r>
      <w:proofErr w:type="spellEnd"/>
      <w:r w:rsidR="009C20DA" w:rsidRPr="00B14ED8">
        <w:rPr>
          <w:rFonts w:ascii="Times New Roman" w:eastAsia="Times New Roman" w:hAnsi="Times New Roman" w:cs="Times New Roman"/>
          <w:sz w:val="24"/>
          <w:szCs w:val="24"/>
        </w:rPr>
        <w:t xml:space="preserve"> pada </w:t>
      </w:r>
      <w:proofErr w:type="spellStart"/>
      <w:r w:rsidR="009C20DA" w:rsidRPr="00B14ED8">
        <w:rPr>
          <w:rFonts w:ascii="Times New Roman" w:eastAsia="Times New Roman" w:hAnsi="Times New Roman" w:cs="Times New Roman"/>
          <w:sz w:val="24"/>
          <w:szCs w:val="24"/>
        </w:rPr>
        <w:t>pembiayaan</w:t>
      </w:r>
      <w:proofErr w:type="spellEnd"/>
      <w:r w:rsidR="009C20DA" w:rsidRPr="00B14ED8">
        <w:rPr>
          <w:rFonts w:ascii="Times New Roman" w:eastAsia="Times New Roman" w:hAnsi="Times New Roman" w:cs="Times New Roman"/>
          <w:sz w:val="24"/>
          <w:szCs w:val="24"/>
        </w:rPr>
        <w:t xml:space="preserve"> </w:t>
      </w:r>
      <w:proofErr w:type="spellStart"/>
      <w:r w:rsidR="009C20DA" w:rsidRPr="00B14ED8">
        <w:rPr>
          <w:rFonts w:ascii="Times New Roman" w:eastAsia="Times New Roman" w:hAnsi="Times New Roman" w:cs="Times New Roman"/>
          <w:i/>
          <w:iCs/>
          <w:sz w:val="24"/>
          <w:szCs w:val="24"/>
        </w:rPr>
        <w:t>mudharabah</w:t>
      </w:r>
      <w:proofErr w:type="spellEnd"/>
      <w:r w:rsidR="009C20DA" w:rsidRPr="00B14ED8">
        <w:rPr>
          <w:rFonts w:ascii="Times New Roman" w:eastAsia="Times New Roman" w:hAnsi="Times New Roman" w:cs="Times New Roman"/>
          <w:i/>
          <w:iCs/>
          <w:sz w:val="24"/>
          <w:szCs w:val="24"/>
        </w:rPr>
        <w:t xml:space="preserve"> </w:t>
      </w:r>
      <w:proofErr w:type="spellStart"/>
      <w:r w:rsidR="009C20DA" w:rsidRPr="00B14ED8">
        <w:rPr>
          <w:rFonts w:ascii="Times New Roman" w:eastAsia="Times New Roman" w:hAnsi="Times New Roman" w:cs="Times New Roman"/>
          <w:sz w:val="24"/>
          <w:szCs w:val="24"/>
        </w:rPr>
        <w:t>justru</w:t>
      </w:r>
      <w:proofErr w:type="spellEnd"/>
      <w:r w:rsidR="009C20DA" w:rsidRPr="00B14ED8">
        <w:rPr>
          <w:rFonts w:ascii="Times New Roman" w:eastAsia="Times New Roman" w:hAnsi="Times New Roman" w:cs="Times New Roman"/>
          <w:sz w:val="24"/>
          <w:szCs w:val="24"/>
        </w:rPr>
        <w:t xml:space="preserve"> </w:t>
      </w:r>
      <w:proofErr w:type="spellStart"/>
      <w:r w:rsidR="009C20DA" w:rsidRPr="00B14ED8">
        <w:rPr>
          <w:rFonts w:ascii="Times New Roman" w:eastAsia="Times New Roman" w:hAnsi="Times New Roman" w:cs="Times New Roman"/>
          <w:sz w:val="24"/>
          <w:szCs w:val="24"/>
        </w:rPr>
        <w:t>berbanding</w:t>
      </w:r>
      <w:proofErr w:type="spellEnd"/>
      <w:r w:rsidR="009C20DA" w:rsidRPr="00B14ED8">
        <w:rPr>
          <w:rFonts w:ascii="Times New Roman" w:eastAsia="Times New Roman" w:hAnsi="Times New Roman" w:cs="Times New Roman"/>
          <w:sz w:val="24"/>
          <w:szCs w:val="24"/>
        </w:rPr>
        <w:t xml:space="preserve"> </w:t>
      </w:r>
      <w:proofErr w:type="spellStart"/>
      <w:r w:rsidR="009C20DA" w:rsidRPr="00B14ED8">
        <w:rPr>
          <w:rFonts w:ascii="Times New Roman" w:eastAsia="Times New Roman" w:hAnsi="Times New Roman" w:cs="Times New Roman"/>
          <w:sz w:val="24"/>
          <w:szCs w:val="24"/>
        </w:rPr>
        <w:t>terbalik</w:t>
      </w:r>
      <w:proofErr w:type="spellEnd"/>
      <w:r w:rsidR="009C20DA" w:rsidRPr="00B14ED8">
        <w:rPr>
          <w:rFonts w:ascii="Times New Roman" w:eastAsia="Times New Roman" w:hAnsi="Times New Roman" w:cs="Times New Roman"/>
          <w:sz w:val="24"/>
          <w:szCs w:val="24"/>
        </w:rPr>
        <w:t xml:space="preserve"> </w:t>
      </w:r>
      <w:proofErr w:type="spellStart"/>
      <w:r w:rsidR="009C20DA" w:rsidRPr="00B14ED8">
        <w:rPr>
          <w:rFonts w:ascii="Times New Roman" w:eastAsia="Times New Roman" w:hAnsi="Times New Roman" w:cs="Times New Roman"/>
          <w:sz w:val="24"/>
          <w:szCs w:val="24"/>
        </w:rPr>
        <w:t>dengan</w:t>
      </w:r>
      <w:proofErr w:type="spellEnd"/>
      <w:r w:rsidR="009C20DA" w:rsidRPr="00B14ED8">
        <w:rPr>
          <w:rFonts w:ascii="Times New Roman" w:eastAsia="Times New Roman" w:hAnsi="Times New Roman" w:cs="Times New Roman"/>
          <w:sz w:val="24"/>
          <w:szCs w:val="24"/>
        </w:rPr>
        <w:t xml:space="preserve"> </w:t>
      </w:r>
      <w:proofErr w:type="spellStart"/>
      <w:r w:rsidR="009C20DA" w:rsidRPr="00B14ED8">
        <w:rPr>
          <w:rFonts w:ascii="Times New Roman" w:eastAsia="Times New Roman" w:hAnsi="Times New Roman" w:cs="Times New Roman"/>
          <w:sz w:val="24"/>
          <w:szCs w:val="24"/>
        </w:rPr>
        <w:t>nilai</w:t>
      </w:r>
      <w:proofErr w:type="spellEnd"/>
      <w:r w:rsidR="009C20DA" w:rsidRPr="00B14ED8">
        <w:rPr>
          <w:rFonts w:ascii="Times New Roman" w:eastAsia="Times New Roman" w:hAnsi="Times New Roman" w:cs="Times New Roman"/>
          <w:sz w:val="24"/>
          <w:szCs w:val="24"/>
        </w:rPr>
        <w:t xml:space="preserve"> </w:t>
      </w:r>
      <w:proofErr w:type="spellStart"/>
      <w:r w:rsidR="009C20DA" w:rsidRPr="00B14ED8">
        <w:rPr>
          <w:rFonts w:ascii="Times New Roman" w:eastAsia="Times New Roman" w:hAnsi="Times New Roman" w:cs="Times New Roman"/>
          <w:sz w:val="24"/>
          <w:szCs w:val="24"/>
        </w:rPr>
        <w:t>investasi</w:t>
      </w:r>
      <w:proofErr w:type="spellEnd"/>
      <w:r w:rsidR="009C20DA" w:rsidRPr="00B14ED8">
        <w:rPr>
          <w:rFonts w:ascii="Times New Roman" w:eastAsia="Times New Roman" w:hAnsi="Times New Roman" w:cs="Times New Roman"/>
          <w:sz w:val="24"/>
          <w:szCs w:val="24"/>
        </w:rPr>
        <w:t xml:space="preserve"> </w:t>
      </w:r>
      <w:proofErr w:type="spellStart"/>
      <w:r w:rsidR="009C20DA" w:rsidRPr="00B14ED8">
        <w:rPr>
          <w:rFonts w:ascii="Times New Roman" w:eastAsia="Times New Roman" w:hAnsi="Times New Roman" w:cs="Times New Roman"/>
          <w:sz w:val="24"/>
          <w:szCs w:val="24"/>
        </w:rPr>
        <w:t>pembiayaan</w:t>
      </w:r>
      <w:proofErr w:type="spellEnd"/>
      <w:r w:rsidR="009C20DA" w:rsidRPr="00B14ED8">
        <w:rPr>
          <w:rFonts w:ascii="Times New Roman" w:eastAsia="Times New Roman" w:hAnsi="Times New Roman" w:cs="Times New Roman"/>
          <w:sz w:val="24"/>
          <w:szCs w:val="24"/>
        </w:rPr>
        <w:t xml:space="preserve"> </w:t>
      </w:r>
      <w:proofErr w:type="spellStart"/>
      <w:r w:rsidR="009C20DA" w:rsidRPr="00B14ED8">
        <w:rPr>
          <w:rFonts w:ascii="Times New Roman" w:eastAsia="Times New Roman" w:hAnsi="Times New Roman" w:cs="Times New Roman"/>
          <w:i/>
          <w:iCs/>
          <w:sz w:val="24"/>
          <w:szCs w:val="24"/>
        </w:rPr>
        <w:t>musyarakah</w:t>
      </w:r>
      <w:proofErr w:type="spellEnd"/>
      <w:r w:rsidR="009360BB" w:rsidRPr="00B14ED8">
        <w:rPr>
          <w:rFonts w:ascii="Times New Roman" w:eastAsia="Times New Roman" w:hAnsi="Times New Roman" w:cs="Times New Roman"/>
          <w:i/>
          <w:iCs/>
          <w:sz w:val="24"/>
          <w:szCs w:val="24"/>
        </w:rPr>
        <w:t xml:space="preserve"> </w:t>
      </w:r>
      <w:r w:rsidR="009360BB" w:rsidRPr="00B14ED8">
        <w:rPr>
          <w:rFonts w:ascii="Times New Roman" w:eastAsia="Times New Roman" w:hAnsi="Times New Roman" w:cs="Times New Roman"/>
          <w:sz w:val="24"/>
          <w:szCs w:val="24"/>
        </w:rPr>
        <w:t xml:space="preserve">yang </w:t>
      </w:r>
      <w:proofErr w:type="spellStart"/>
      <w:r w:rsidR="009360BB" w:rsidRPr="00B14ED8">
        <w:rPr>
          <w:rFonts w:ascii="Times New Roman" w:eastAsia="Times New Roman" w:hAnsi="Times New Roman" w:cs="Times New Roman"/>
          <w:sz w:val="24"/>
          <w:szCs w:val="24"/>
        </w:rPr>
        <w:t>mengalami</w:t>
      </w:r>
      <w:proofErr w:type="spellEnd"/>
      <w:r w:rsidR="009360BB" w:rsidRPr="00B14ED8">
        <w:rPr>
          <w:rFonts w:ascii="Times New Roman" w:eastAsia="Times New Roman" w:hAnsi="Times New Roman" w:cs="Times New Roman"/>
          <w:sz w:val="24"/>
          <w:szCs w:val="24"/>
        </w:rPr>
        <w:t xml:space="preserve"> </w:t>
      </w:r>
      <w:proofErr w:type="spellStart"/>
      <w:r w:rsidR="009360BB" w:rsidRPr="00B14ED8">
        <w:rPr>
          <w:rFonts w:ascii="Times New Roman" w:eastAsia="Times New Roman" w:hAnsi="Times New Roman" w:cs="Times New Roman"/>
          <w:sz w:val="24"/>
          <w:szCs w:val="24"/>
        </w:rPr>
        <w:t>peningkatan</w:t>
      </w:r>
      <w:proofErr w:type="spellEnd"/>
      <w:r w:rsidR="009360BB" w:rsidRPr="00B14ED8">
        <w:rPr>
          <w:rFonts w:ascii="Times New Roman" w:eastAsia="Times New Roman" w:hAnsi="Times New Roman" w:cs="Times New Roman"/>
          <w:sz w:val="24"/>
          <w:szCs w:val="24"/>
        </w:rPr>
        <w:t xml:space="preserve"> </w:t>
      </w:r>
      <w:proofErr w:type="spellStart"/>
      <w:r w:rsidR="00C43AED" w:rsidRPr="00B14ED8">
        <w:rPr>
          <w:rFonts w:ascii="Times New Roman" w:eastAsia="Times New Roman" w:hAnsi="Times New Roman" w:cs="Times New Roman"/>
          <w:sz w:val="24"/>
          <w:szCs w:val="24"/>
        </w:rPr>
        <w:t>sebagaimana</w:t>
      </w:r>
      <w:proofErr w:type="spellEnd"/>
      <w:r w:rsidR="00C43AED" w:rsidRPr="00B14ED8">
        <w:rPr>
          <w:rFonts w:ascii="Times New Roman" w:eastAsia="Times New Roman" w:hAnsi="Times New Roman" w:cs="Times New Roman"/>
          <w:sz w:val="24"/>
          <w:szCs w:val="24"/>
        </w:rPr>
        <w:t xml:space="preserve"> </w:t>
      </w:r>
      <w:proofErr w:type="spellStart"/>
      <w:r w:rsidR="00C43AED" w:rsidRPr="00B14ED8">
        <w:rPr>
          <w:rFonts w:ascii="Times New Roman" w:eastAsia="Times New Roman" w:hAnsi="Times New Roman" w:cs="Times New Roman"/>
          <w:sz w:val="24"/>
          <w:szCs w:val="24"/>
        </w:rPr>
        <w:t>grafik</w:t>
      </w:r>
      <w:proofErr w:type="spellEnd"/>
      <w:r w:rsidR="00C43AED" w:rsidRPr="00B14ED8">
        <w:rPr>
          <w:rFonts w:ascii="Times New Roman" w:eastAsia="Times New Roman" w:hAnsi="Times New Roman" w:cs="Times New Roman"/>
          <w:sz w:val="24"/>
          <w:szCs w:val="24"/>
        </w:rPr>
        <w:t xml:space="preserve"> </w:t>
      </w:r>
      <w:proofErr w:type="spellStart"/>
      <w:r w:rsidR="00C43AED" w:rsidRPr="00B14ED8">
        <w:rPr>
          <w:rFonts w:ascii="Times New Roman" w:eastAsia="Times New Roman" w:hAnsi="Times New Roman" w:cs="Times New Roman"/>
          <w:sz w:val="24"/>
          <w:szCs w:val="24"/>
        </w:rPr>
        <w:t>berikut</w:t>
      </w:r>
      <w:proofErr w:type="spellEnd"/>
      <w:r w:rsidR="00DF2BA8" w:rsidRPr="00B14ED8">
        <w:rPr>
          <w:rFonts w:ascii="Times New Roman" w:eastAsia="Times New Roman" w:hAnsi="Times New Roman" w:cs="Times New Roman"/>
          <w:sz w:val="24"/>
          <w:szCs w:val="24"/>
        </w:rPr>
        <w:t>:</w:t>
      </w:r>
    </w:p>
    <w:p w14:paraId="7EC1FA66" w14:textId="334F5D92" w:rsidR="00550393" w:rsidRPr="00B14ED8" w:rsidRDefault="0021134F" w:rsidP="00B14ED8">
      <w:pPr>
        <w:spacing w:after="0" w:line="360" w:lineRule="auto"/>
        <w:ind w:firstLine="567"/>
        <w:jc w:val="both"/>
        <w:rPr>
          <w:rFonts w:ascii="Times New Roman" w:eastAsia="Times New Roman" w:hAnsi="Times New Roman" w:cs="Times New Roman"/>
          <w:sz w:val="24"/>
          <w:szCs w:val="24"/>
        </w:rPr>
      </w:pPr>
      <w:r w:rsidRPr="00B14ED8">
        <w:rPr>
          <w:rFonts w:ascii="Times New Roman" w:hAnsi="Times New Roman" w:cs="Times New Roman"/>
          <w:noProof/>
          <w:sz w:val="24"/>
          <w:szCs w:val="24"/>
        </w:rPr>
        <w:drawing>
          <wp:anchor distT="0" distB="0" distL="114300" distR="114300" simplePos="0" relativeHeight="251664384" behindDoc="0" locked="0" layoutInCell="1" allowOverlap="1" wp14:anchorId="458366A1" wp14:editId="0A35664C">
            <wp:simplePos x="0" y="0"/>
            <wp:positionH relativeFrom="column">
              <wp:posOffset>-10633</wp:posOffset>
            </wp:positionH>
            <wp:positionV relativeFrom="paragraph">
              <wp:posOffset>155442</wp:posOffset>
            </wp:positionV>
            <wp:extent cx="5724525" cy="2222205"/>
            <wp:effectExtent l="0" t="0" r="9525" b="6985"/>
            <wp:wrapNone/>
            <wp:docPr id="165288539" name="Chart 1">
              <a:extLst xmlns:a="http://schemas.openxmlformats.org/drawingml/2006/main">
                <a:ext uri="{FF2B5EF4-FFF2-40B4-BE49-F238E27FC236}">
                  <a16:creationId xmlns:a16="http://schemas.microsoft.com/office/drawing/2014/main" id="{854AC831-0008-D412-88E2-C5478F66D3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6B0C6DF6" w14:textId="01C9BC74" w:rsidR="00550393" w:rsidRPr="00B14ED8" w:rsidRDefault="00550393" w:rsidP="00B14ED8">
      <w:pPr>
        <w:spacing w:after="0" w:line="360" w:lineRule="auto"/>
        <w:ind w:firstLine="567"/>
        <w:jc w:val="both"/>
        <w:rPr>
          <w:rFonts w:ascii="Times New Roman" w:eastAsia="Times New Roman" w:hAnsi="Times New Roman" w:cs="Times New Roman"/>
          <w:sz w:val="24"/>
          <w:szCs w:val="24"/>
        </w:rPr>
      </w:pPr>
    </w:p>
    <w:p w14:paraId="6B0FC169" w14:textId="77777777" w:rsidR="00550393" w:rsidRPr="00B14ED8" w:rsidRDefault="00550393" w:rsidP="00B14ED8">
      <w:pPr>
        <w:spacing w:after="0" w:line="360" w:lineRule="auto"/>
        <w:ind w:firstLine="567"/>
        <w:jc w:val="both"/>
        <w:rPr>
          <w:rFonts w:ascii="Times New Roman" w:eastAsia="Times New Roman" w:hAnsi="Times New Roman" w:cs="Times New Roman"/>
          <w:sz w:val="24"/>
          <w:szCs w:val="24"/>
        </w:rPr>
      </w:pPr>
    </w:p>
    <w:p w14:paraId="24A9FFB5" w14:textId="77777777" w:rsidR="0021134F" w:rsidRPr="00B14ED8" w:rsidRDefault="0021134F" w:rsidP="00B14ED8">
      <w:pPr>
        <w:spacing w:after="0" w:line="360" w:lineRule="auto"/>
        <w:ind w:firstLine="567"/>
        <w:jc w:val="both"/>
        <w:rPr>
          <w:rFonts w:ascii="Times New Roman" w:eastAsia="Times New Roman" w:hAnsi="Times New Roman" w:cs="Times New Roman"/>
          <w:sz w:val="24"/>
          <w:szCs w:val="24"/>
        </w:rPr>
      </w:pPr>
    </w:p>
    <w:p w14:paraId="6F929079" w14:textId="77777777" w:rsidR="0021134F" w:rsidRPr="00B14ED8" w:rsidRDefault="0021134F" w:rsidP="00B14ED8">
      <w:pPr>
        <w:spacing w:after="0" w:line="360" w:lineRule="auto"/>
        <w:ind w:firstLine="567"/>
        <w:jc w:val="both"/>
        <w:rPr>
          <w:rFonts w:ascii="Times New Roman" w:eastAsia="Times New Roman" w:hAnsi="Times New Roman" w:cs="Times New Roman"/>
          <w:sz w:val="24"/>
          <w:szCs w:val="24"/>
        </w:rPr>
      </w:pPr>
    </w:p>
    <w:p w14:paraId="4E28763C" w14:textId="40E71F62" w:rsidR="0021134F" w:rsidRPr="00B14ED8" w:rsidRDefault="0021134F" w:rsidP="00B14ED8">
      <w:pPr>
        <w:spacing w:after="0" w:line="360" w:lineRule="auto"/>
        <w:ind w:firstLine="567"/>
        <w:jc w:val="both"/>
        <w:rPr>
          <w:rFonts w:ascii="Times New Roman" w:eastAsia="Times New Roman" w:hAnsi="Times New Roman" w:cs="Times New Roman"/>
          <w:sz w:val="24"/>
          <w:szCs w:val="24"/>
        </w:rPr>
      </w:pPr>
    </w:p>
    <w:p w14:paraId="7A257A40" w14:textId="77777777" w:rsidR="0021134F" w:rsidRPr="00B14ED8" w:rsidRDefault="0021134F" w:rsidP="00B14ED8">
      <w:pPr>
        <w:spacing w:after="0" w:line="360" w:lineRule="auto"/>
        <w:ind w:firstLine="567"/>
        <w:jc w:val="both"/>
        <w:rPr>
          <w:rFonts w:ascii="Times New Roman" w:eastAsia="Times New Roman" w:hAnsi="Times New Roman" w:cs="Times New Roman"/>
          <w:sz w:val="24"/>
          <w:szCs w:val="24"/>
        </w:rPr>
      </w:pPr>
    </w:p>
    <w:p w14:paraId="63AC5653" w14:textId="77777777" w:rsidR="0021134F" w:rsidRPr="00B14ED8" w:rsidRDefault="0021134F" w:rsidP="00B14ED8">
      <w:pPr>
        <w:spacing w:after="0" w:line="360" w:lineRule="auto"/>
        <w:ind w:firstLine="567"/>
        <w:jc w:val="both"/>
        <w:rPr>
          <w:rFonts w:ascii="Times New Roman" w:eastAsia="Times New Roman" w:hAnsi="Times New Roman" w:cs="Times New Roman"/>
          <w:sz w:val="24"/>
          <w:szCs w:val="24"/>
        </w:rPr>
      </w:pPr>
    </w:p>
    <w:p w14:paraId="612791D7" w14:textId="77777777" w:rsidR="0021134F" w:rsidRPr="00B14ED8" w:rsidRDefault="0021134F" w:rsidP="00B14ED8">
      <w:pPr>
        <w:spacing w:after="0" w:line="360" w:lineRule="auto"/>
        <w:ind w:firstLine="567"/>
        <w:jc w:val="both"/>
        <w:rPr>
          <w:rFonts w:ascii="Times New Roman" w:eastAsia="Times New Roman" w:hAnsi="Times New Roman" w:cs="Times New Roman"/>
          <w:sz w:val="24"/>
          <w:szCs w:val="24"/>
        </w:rPr>
      </w:pPr>
    </w:p>
    <w:p w14:paraId="5D5B8039" w14:textId="439DDCF4" w:rsidR="0021134F" w:rsidRPr="00B14ED8" w:rsidRDefault="00B14ED8" w:rsidP="00B14ED8">
      <w:pPr>
        <w:spacing w:after="0" w:line="360" w:lineRule="auto"/>
        <w:ind w:firstLine="567"/>
        <w:jc w:val="both"/>
        <w:rPr>
          <w:rFonts w:ascii="Times New Roman" w:eastAsia="Times New Roman" w:hAnsi="Times New Roman" w:cs="Times New Roman"/>
          <w:sz w:val="24"/>
          <w:szCs w:val="24"/>
        </w:rPr>
      </w:pPr>
      <w:r w:rsidRPr="00B14ED8">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9763AF1" wp14:editId="609AD449">
                <wp:simplePos x="0" y="0"/>
                <wp:positionH relativeFrom="column">
                  <wp:posOffset>-3810</wp:posOffset>
                </wp:positionH>
                <wp:positionV relativeFrom="paragraph">
                  <wp:posOffset>228741</wp:posOffset>
                </wp:positionV>
                <wp:extent cx="5701030" cy="635"/>
                <wp:effectExtent l="0" t="0" r="0" b="2540"/>
                <wp:wrapNone/>
                <wp:docPr id="568992485" name="Text Box 1"/>
                <wp:cNvGraphicFramePr/>
                <a:graphic xmlns:a="http://schemas.openxmlformats.org/drawingml/2006/main">
                  <a:graphicData uri="http://schemas.microsoft.com/office/word/2010/wordprocessingShape">
                    <wps:wsp>
                      <wps:cNvSpPr txBox="1"/>
                      <wps:spPr>
                        <a:xfrm>
                          <a:off x="0" y="0"/>
                          <a:ext cx="5701030" cy="635"/>
                        </a:xfrm>
                        <a:prstGeom prst="rect">
                          <a:avLst/>
                        </a:prstGeom>
                        <a:solidFill>
                          <a:prstClr val="white"/>
                        </a:solidFill>
                        <a:ln>
                          <a:noFill/>
                        </a:ln>
                      </wps:spPr>
                      <wps:txbx>
                        <w:txbxContent>
                          <w:p w14:paraId="16E5BDC8" w14:textId="7599804F" w:rsidR="00B3173C" w:rsidRPr="009D7EC2" w:rsidRDefault="00B3173C" w:rsidP="00B3173C">
                            <w:pPr>
                              <w:pStyle w:val="Caption"/>
                              <w:spacing w:after="0"/>
                              <w:jc w:val="center"/>
                              <w:rPr>
                                <w:rFonts w:ascii="Times New Roman" w:hAnsi="Times New Roman" w:cs="Times New Roman"/>
                                <w:i w:val="0"/>
                                <w:iCs w:val="0"/>
                                <w:color w:val="000000" w:themeColor="text1"/>
                                <w:sz w:val="22"/>
                                <w:szCs w:val="22"/>
                              </w:rPr>
                            </w:pPr>
                            <w:r w:rsidRPr="009D7EC2">
                              <w:rPr>
                                <w:rFonts w:ascii="Times New Roman" w:hAnsi="Times New Roman" w:cs="Times New Roman"/>
                                <w:i w:val="0"/>
                                <w:iCs w:val="0"/>
                                <w:color w:val="000000" w:themeColor="text1"/>
                                <w:sz w:val="22"/>
                                <w:szCs w:val="22"/>
                              </w:rPr>
                              <w:t xml:space="preserve">Gambar  </w:t>
                            </w:r>
                            <w:r w:rsidRPr="009D7EC2">
                              <w:rPr>
                                <w:rFonts w:ascii="Times New Roman" w:hAnsi="Times New Roman" w:cs="Times New Roman"/>
                                <w:i w:val="0"/>
                                <w:iCs w:val="0"/>
                                <w:color w:val="000000" w:themeColor="text1"/>
                                <w:sz w:val="22"/>
                                <w:szCs w:val="22"/>
                              </w:rPr>
                              <w:fldChar w:fldCharType="begin"/>
                            </w:r>
                            <w:r w:rsidRPr="009D7EC2">
                              <w:rPr>
                                <w:rFonts w:ascii="Times New Roman" w:hAnsi="Times New Roman" w:cs="Times New Roman"/>
                                <w:i w:val="0"/>
                                <w:iCs w:val="0"/>
                                <w:color w:val="000000" w:themeColor="text1"/>
                                <w:sz w:val="22"/>
                                <w:szCs w:val="22"/>
                              </w:rPr>
                              <w:instrText xml:space="preserve"> SEQ Gambar_ \* ARABIC </w:instrText>
                            </w:r>
                            <w:r w:rsidRPr="009D7EC2">
                              <w:rPr>
                                <w:rFonts w:ascii="Times New Roman" w:hAnsi="Times New Roman" w:cs="Times New Roman"/>
                                <w:i w:val="0"/>
                                <w:iCs w:val="0"/>
                                <w:color w:val="000000" w:themeColor="text1"/>
                                <w:sz w:val="22"/>
                                <w:szCs w:val="22"/>
                              </w:rPr>
                              <w:fldChar w:fldCharType="separate"/>
                            </w:r>
                            <w:r w:rsidR="00940D99">
                              <w:rPr>
                                <w:rFonts w:ascii="Times New Roman" w:hAnsi="Times New Roman" w:cs="Times New Roman"/>
                                <w:i w:val="0"/>
                                <w:iCs w:val="0"/>
                                <w:noProof/>
                                <w:color w:val="000000" w:themeColor="text1"/>
                                <w:sz w:val="22"/>
                                <w:szCs w:val="22"/>
                              </w:rPr>
                              <w:t>2</w:t>
                            </w:r>
                            <w:r w:rsidRPr="009D7EC2">
                              <w:rPr>
                                <w:rFonts w:ascii="Times New Roman" w:hAnsi="Times New Roman" w:cs="Times New Roman"/>
                                <w:i w:val="0"/>
                                <w:iCs w:val="0"/>
                                <w:color w:val="000000" w:themeColor="text1"/>
                                <w:sz w:val="22"/>
                                <w:szCs w:val="22"/>
                              </w:rPr>
                              <w:fldChar w:fldCharType="end"/>
                            </w:r>
                            <w:r w:rsidRPr="009D7EC2">
                              <w:rPr>
                                <w:rFonts w:ascii="Times New Roman" w:hAnsi="Times New Roman" w:cs="Times New Roman"/>
                                <w:i w:val="0"/>
                                <w:iCs w:val="0"/>
                                <w:color w:val="000000" w:themeColor="text1"/>
                                <w:sz w:val="22"/>
                                <w:szCs w:val="22"/>
                              </w:rPr>
                              <w:t xml:space="preserve">. Nilai Rata – Rata </w:t>
                            </w:r>
                            <w:r w:rsidRPr="009D7EC2">
                              <w:rPr>
                                <w:rFonts w:ascii="Times New Roman" w:hAnsi="Times New Roman" w:cs="Times New Roman"/>
                                <w:i w:val="0"/>
                                <w:iCs w:val="0"/>
                                <w:color w:val="000000" w:themeColor="text1"/>
                                <w:sz w:val="22"/>
                                <w:szCs w:val="22"/>
                              </w:rPr>
                              <w:t xml:space="preserve">Pembiayaan </w:t>
                            </w:r>
                            <w:r w:rsidRPr="00807BEE">
                              <w:rPr>
                                <w:rFonts w:ascii="Times New Roman" w:hAnsi="Times New Roman" w:cs="Times New Roman"/>
                                <w:color w:val="000000" w:themeColor="text1"/>
                                <w:sz w:val="22"/>
                                <w:szCs w:val="22"/>
                              </w:rPr>
                              <w:t>Mu</w:t>
                            </w:r>
                            <w:r>
                              <w:rPr>
                                <w:rFonts w:ascii="Times New Roman" w:hAnsi="Times New Roman" w:cs="Times New Roman"/>
                                <w:color w:val="000000" w:themeColor="text1"/>
                                <w:sz w:val="22"/>
                                <w:szCs w:val="22"/>
                              </w:rPr>
                              <w:t>syarakah</w:t>
                            </w:r>
                            <w:r w:rsidRPr="009D7EC2">
                              <w:rPr>
                                <w:rFonts w:ascii="Times New Roman" w:hAnsi="Times New Roman" w:cs="Times New Roman"/>
                                <w:i w:val="0"/>
                                <w:iCs w:val="0"/>
                                <w:color w:val="000000" w:themeColor="text1"/>
                                <w:sz w:val="22"/>
                                <w:szCs w:val="22"/>
                              </w:rPr>
                              <w:t xml:space="preserve"> 20</w:t>
                            </w:r>
                            <w:r w:rsidR="00A248C4">
                              <w:rPr>
                                <w:rFonts w:ascii="Times New Roman" w:hAnsi="Times New Roman" w:cs="Times New Roman"/>
                                <w:i w:val="0"/>
                                <w:iCs w:val="0"/>
                                <w:color w:val="000000" w:themeColor="text1"/>
                                <w:sz w:val="22"/>
                                <w:szCs w:val="22"/>
                              </w:rPr>
                              <w:t>17</w:t>
                            </w:r>
                            <w:r w:rsidRPr="009D7EC2">
                              <w:rPr>
                                <w:rFonts w:ascii="Times New Roman" w:hAnsi="Times New Roman" w:cs="Times New Roman"/>
                                <w:i w:val="0"/>
                                <w:iCs w:val="0"/>
                                <w:color w:val="000000" w:themeColor="text1"/>
                                <w:sz w:val="22"/>
                                <w:szCs w:val="22"/>
                              </w:rPr>
                              <w:t xml:space="preserve"> – 202</w:t>
                            </w:r>
                            <w:r w:rsidR="00A77ADA">
                              <w:rPr>
                                <w:rFonts w:ascii="Times New Roman" w:hAnsi="Times New Roman" w:cs="Times New Roman"/>
                                <w:i w:val="0"/>
                                <w:iCs w:val="0"/>
                                <w:color w:val="000000" w:themeColor="text1"/>
                                <w:sz w:val="22"/>
                                <w:szCs w:val="22"/>
                              </w:rPr>
                              <w:t>2</w:t>
                            </w:r>
                          </w:p>
                          <w:p w14:paraId="06AE573C" w14:textId="7F8C6F45" w:rsidR="00B3173C" w:rsidRPr="009D7EC2" w:rsidRDefault="00B3173C" w:rsidP="00B3173C">
                            <w:pPr>
                              <w:spacing w:after="0" w:line="240" w:lineRule="auto"/>
                              <w:jc w:val="center"/>
                              <w:rPr>
                                <w:rFonts w:ascii="Times New Roman" w:hAnsi="Times New Roman" w:cs="Times New Roman"/>
                              </w:rPr>
                            </w:pPr>
                            <w:r>
                              <w:rPr>
                                <w:rFonts w:ascii="Times New Roman" w:hAnsi="Times New Roman" w:cs="Times New Roman"/>
                              </w:rPr>
                              <w:t>(</w:t>
                            </w:r>
                            <w:r w:rsidRPr="009D7EC2">
                              <w:rPr>
                                <w:rFonts w:ascii="Times New Roman" w:hAnsi="Times New Roman" w:cs="Times New Roman"/>
                              </w:rPr>
                              <w:t xml:space="preserve">Sumber: Laporan Statistik Perbankan Syariah OJK </w:t>
                            </w:r>
                            <w:r w:rsidR="00A248C4">
                              <w:rPr>
                                <w:rFonts w:ascii="Times New Roman" w:hAnsi="Times New Roman" w:cs="Times New Roman"/>
                              </w:rPr>
                              <w:t xml:space="preserve">2017 - </w:t>
                            </w:r>
                            <w:r w:rsidRPr="009D7EC2">
                              <w:rPr>
                                <w:rFonts w:ascii="Times New Roman" w:hAnsi="Times New Roman" w:cs="Times New Roman"/>
                              </w:rPr>
                              <w:t>202</w:t>
                            </w:r>
                            <w:r w:rsidR="00A77ADA">
                              <w:rPr>
                                <w:rFonts w:ascii="Times New Roman" w:hAnsi="Times New Roman" w:cs="Times New Roman"/>
                              </w:rPr>
                              <w:t>2</w:t>
                            </w:r>
                            <w:r>
                              <w:rPr>
                                <w:rFonts w:ascii="Times New Roman" w:hAnsi="Times New Roman" w:cs="Times New Roma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 w14:anchorId="49763AF1" id="_x0000_s1027" type="#_x0000_t202" style="position:absolute;left:0;text-align:left;margin-left:-.3pt;margin-top:18pt;width:448.9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" stroked="f">
                <v:textbox style="mso-fit-shape-to-text:t" inset="0,0,0,0">
                  <w:txbxContent>
                    <w:p w14:paraId="16E5BDC8" w14:textId="7599804F" w:rsidR="00B3173C" w:rsidRPr="009D7EC2" w:rsidRDefault="00B3173C" w:rsidP="00B3173C">
                      <w:pPr>
                        <w:pStyle w:val="Caption"/>
                        <w:spacing w:after="0"/>
                        <w:jc w:val="center"/>
                        <w:rPr>
                          <w:rFonts w:ascii="Times New Roman" w:hAnsi="Times New Roman" w:cs="Times New Roman"/>
                          <w:i w:val="0"/>
                          <w:iCs w:val="0"/>
                          <w:color w:val="000000" w:themeColor="text1"/>
                          <w:sz w:val="22"/>
                          <w:szCs w:val="22"/>
                        </w:rPr>
                      </w:pPr>
                      <w:r w:rsidRPr="009D7EC2">
                        <w:rPr>
                          <w:rFonts w:ascii="Times New Roman" w:hAnsi="Times New Roman" w:cs="Times New Roman"/>
                          <w:i w:val="0"/>
                          <w:iCs w:val="0"/>
                          <w:color w:val="000000" w:themeColor="text1"/>
                          <w:sz w:val="22"/>
                          <w:szCs w:val="22"/>
                        </w:rPr>
                        <w:t xml:space="preserve">Gambar  </w:t>
                      </w:r>
                      <w:r w:rsidRPr="009D7EC2">
                        <w:rPr>
                          <w:rFonts w:ascii="Times New Roman" w:hAnsi="Times New Roman" w:cs="Times New Roman"/>
                          <w:i w:val="0"/>
                          <w:iCs w:val="0"/>
                          <w:color w:val="000000" w:themeColor="text1"/>
                          <w:sz w:val="22"/>
                          <w:szCs w:val="22"/>
                        </w:rPr>
                        <w:fldChar w:fldCharType="begin"/>
                      </w:r>
                      <w:r w:rsidRPr="009D7EC2">
                        <w:rPr>
                          <w:rFonts w:ascii="Times New Roman" w:hAnsi="Times New Roman" w:cs="Times New Roman"/>
                          <w:i w:val="0"/>
                          <w:iCs w:val="0"/>
                          <w:color w:val="000000" w:themeColor="text1"/>
                          <w:sz w:val="22"/>
                          <w:szCs w:val="22"/>
                        </w:rPr>
                        <w:instrText xml:space="preserve"> SEQ Gambar_ \* ARABIC </w:instrText>
                      </w:r>
                      <w:r w:rsidRPr="009D7EC2">
                        <w:rPr>
                          <w:rFonts w:ascii="Times New Roman" w:hAnsi="Times New Roman" w:cs="Times New Roman"/>
                          <w:i w:val="0"/>
                          <w:iCs w:val="0"/>
                          <w:color w:val="000000" w:themeColor="text1"/>
                          <w:sz w:val="22"/>
                          <w:szCs w:val="22"/>
                        </w:rPr>
                        <w:fldChar w:fldCharType="separate"/>
                      </w:r>
                      <w:r w:rsidR="00940D99">
                        <w:rPr>
                          <w:rFonts w:ascii="Times New Roman" w:hAnsi="Times New Roman" w:cs="Times New Roman"/>
                          <w:i w:val="0"/>
                          <w:iCs w:val="0"/>
                          <w:noProof/>
                          <w:color w:val="000000" w:themeColor="text1"/>
                          <w:sz w:val="22"/>
                          <w:szCs w:val="22"/>
                        </w:rPr>
                        <w:t>2</w:t>
                      </w:r>
                      <w:r w:rsidRPr="009D7EC2">
                        <w:rPr>
                          <w:rFonts w:ascii="Times New Roman" w:hAnsi="Times New Roman" w:cs="Times New Roman"/>
                          <w:i w:val="0"/>
                          <w:iCs w:val="0"/>
                          <w:color w:val="000000" w:themeColor="text1"/>
                          <w:sz w:val="22"/>
                          <w:szCs w:val="22"/>
                        </w:rPr>
                        <w:fldChar w:fldCharType="end"/>
                      </w:r>
                      <w:r w:rsidRPr="009D7EC2">
                        <w:rPr>
                          <w:rFonts w:ascii="Times New Roman" w:hAnsi="Times New Roman" w:cs="Times New Roman"/>
                          <w:i w:val="0"/>
                          <w:iCs w:val="0"/>
                          <w:color w:val="000000" w:themeColor="text1"/>
                          <w:sz w:val="22"/>
                          <w:szCs w:val="22"/>
                        </w:rPr>
                        <w:t xml:space="preserve">. Nilai Rata – Rata </w:t>
                      </w:r>
                      <w:proofErr w:type="spellStart"/>
                      <w:r w:rsidRPr="009D7EC2">
                        <w:rPr>
                          <w:rFonts w:ascii="Times New Roman" w:hAnsi="Times New Roman" w:cs="Times New Roman"/>
                          <w:i w:val="0"/>
                          <w:iCs w:val="0"/>
                          <w:color w:val="000000" w:themeColor="text1"/>
                          <w:sz w:val="22"/>
                          <w:szCs w:val="22"/>
                        </w:rPr>
                        <w:t>Pembiayaan</w:t>
                      </w:r>
                      <w:proofErr w:type="spellEnd"/>
                      <w:r w:rsidRPr="009D7EC2">
                        <w:rPr>
                          <w:rFonts w:ascii="Times New Roman" w:hAnsi="Times New Roman" w:cs="Times New Roman"/>
                          <w:i w:val="0"/>
                          <w:iCs w:val="0"/>
                          <w:color w:val="000000" w:themeColor="text1"/>
                          <w:sz w:val="22"/>
                          <w:szCs w:val="22"/>
                        </w:rPr>
                        <w:t xml:space="preserve"> </w:t>
                      </w:r>
                      <w:proofErr w:type="spellStart"/>
                      <w:r w:rsidRPr="00807BEE">
                        <w:rPr>
                          <w:rFonts w:ascii="Times New Roman" w:hAnsi="Times New Roman" w:cs="Times New Roman"/>
                          <w:color w:val="000000" w:themeColor="text1"/>
                          <w:sz w:val="22"/>
                          <w:szCs w:val="22"/>
                        </w:rPr>
                        <w:t>Mu</w:t>
                      </w:r>
                      <w:r>
                        <w:rPr>
                          <w:rFonts w:ascii="Times New Roman" w:hAnsi="Times New Roman" w:cs="Times New Roman"/>
                          <w:color w:val="000000" w:themeColor="text1"/>
                          <w:sz w:val="22"/>
                          <w:szCs w:val="22"/>
                        </w:rPr>
                        <w:t>syarakah</w:t>
                      </w:r>
                      <w:proofErr w:type="spellEnd"/>
                      <w:r w:rsidRPr="009D7EC2">
                        <w:rPr>
                          <w:rFonts w:ascii="Times New Roman" w:hAnsi="Times New Roman" w:cs="Times New Roman"/>
                          <w:i w:val="0"/>
                          <w:iCs w:val="0"/>
                          <w:color w:val="000000" w:themeColor="text1"/>
                          <w:sz w:val="22"/>
                          <w:szCs w:val="22"/>
                        </w:rPr>
                        <w:t xml:space="preserve"> 20</w:t>
                      </w:r>
                      <w:r w:rsidR="00A248C4">
                        <w:rPr>
                          <w:rFonts w:ascii="Times New Roman" w:hAnsi="Times New Roman" w:cs="Times New Roman"/>
                          <w:i w:val="0"/>
                          <w:iCs w:val="0"/>
                          <w:color w:val="000000" w:themeColor="text1"/>
                          <w:sz w:val="22"/>
                          <w:szCs w:val="22"/>
                        </w:rPr>
                        <w:t>17</w:t>
                      </w:r>
                      <w:r w:rsidRPr="009D7EC2">
                        <w:rPr>
                          <w:rFonts w:ascii="Times New Roman" w:hAnsi="Times New Roman" w:cs="Times New Roman"/>
                          <w:i w:val="0"/>
                          <w:iCs w:val="0"/>
                          <w:color w:val="000000" w:themeColor="text1"/>
                          <w:sz w:val="22"/>
                          <w:szCs w:val="22"/>
                        </w:rPr>
                        <w:t xml:space="preserve"> – 202</w:t>
                      </w:r>
                      <w:r w:rsidR="00A77ADA">
                        <w:rPr>
                          <w:rFonts w:ascii="Times New Roman" w:hAnsi="Times New Roman" w:cs="Times New Roman"/>
                          <w:i w:val="0"/>
                          <w:iCs w:val="0"/>
                          <w:color w:val="000000" w:themeColor="text1"/>
                          <w:sz w:val="22"/>
                          <w:szCs w:val="22"/>
                        </w:rPr>
                        <w:t>2</w:t>
                      </w:r>
                    </w:p>
                    <w:p w14:paraId="06AE573C" w14:textId="7F8C6F45" w:rsidR="00B3173C" w:rsidRPr="009D7EC2" w:rsidRDefault="00B3173C" w:rsidP="00B3173C">
                      <w:pPr>
                        <w:spacing w:after="0" w:line="240" w:lineRule="auto"/>
                        <w:jc w:val="center"/>
                        <w:rPr>
                          <w:rFonts w:ascii="Times New Roman" w:hAnsi="Times New Roman" w:cs="Times New Roman"/>
                        </w:rPr>
                      </w:pPr>
                      <w:r>
                        <w:rPr>
                          <w:rFonts w:ascii="Times New Roman" w:hAnsi="Times New Roman" w:cs="Times New Roman"/>
                        </w:rPr>
                        <w:t>(</w:t>
                      </w:r>
                      <w:proofErr w:type="spellStart"/>
                      <w:r w:rsidRPr="009D7EC2">
                        <w:rPr>
                          <w:rFonts w:ascii="Times New Roman" w:hAnsi="Times New Roman" w:cs="Times New Roman"/>
                        </w:rPr>
                        <w:t>Sumber</w:t>
                      </w:r>
                      <w:proofErr w:type="spellEnd"/>
                      <w:r w:rsidRPr="009D7EC2">
                        <w:rPr>
                          <w:rFonts w:ascii="Times New Roman" w:hAnsi="Times New Roman" w:cs="Times New Roman"/>
                        </w:rPr>
                        <w:t xml:space="preserve">: </w:t>
                      </w:r>
                      <w:proofErr w:type="spellStart"/>
                      <w:r w:rsidRPr="009D7EC2">
                        <w:rPr>
                          <w:rFonts w:ascii="Times New Roman" w:hAnsi="Times New Roman" w:cs="Times New Roman"/>
                        </w:rPr>
                        <w:t>Laporan</w:t>
                      </w:r>
                      <w:proofErr w:type="spellEnd"/>
                      <w:r w:rsidRPr="009D7EC2">
                        <w:rPr>
                          <w:rFonts w:ascii="Times New Roman" w:hAnsi="Times New Roman" w:cs="Times New Roman"/>
                        </w:rPr>
                        <w:t xml:space="preserve"> </w:t>
                      </w:r>
                      <w:proofErr w:type="spellStart"/>
                      <w:r w:rsidRPr="009D7EC2">
                        <w:rPr>
                          <w:rFonts w:ascii="Times New Roman" w:hAnsi="Times New Roman" w:cs="Times New Roman"/>
                        </w:rPr>
                        <w:t>Statistik</w:t>
                      </w:r>
                      <w:proofErr w:type="spellEnd"/>
                      <w:r w:rsidRPr="009D7EC2">
                        <w:rPr>
                          <w:rFonts w:ascii="Times New Roman" w:hAnsi="Times New Roman" w:cs="Times New Roman"/>
                        </w:rPr>
                        <w:t xml:space="preserve"> </w:t>
                      </w:r>
                      <w:proofErr w:type="spellStart"/>
                      <w:r w:rsidRPr="009D7EC2">
                        <w:rPr>
                          <w:rFonts w:ascii="Times New Roman" w:hAnsi="Times New Roman" w:cs="Times New Roman"/>
                        </w:rPr>
                        <w:t>Perbankan</w:t>
                      </w:r>
                      <w:proofErr w:type="spellEnd"/>
                      <w:r w:rsidRPr="009D7EC2">
                        <w:rPr>
                          <w:rFonts w:ascii="Times New Roman" w:hAnsi="Times New Roman" w:cs="Times New Roman"/>
                        </w:rPr>
                        <w:t xml:space="preserve"> Syariah OJK </w:t>
                      </w:r>
                      <w:r w:rsidR="00A248C4">
                        <w:rPr>
                          <w:rFonts w:ascii="Times New Roman" w:hAnsi="Times New Roman" w:cs="Times New Roman"/>
                        </w:rPr>
                        <w:t xml:space="preserve">2017 - </w:t>
                      </w:r>
                      <w:r w:rsidRPr="009D7EC2">
                        <w:rPr>
                          <w:rFonts w:ascii="Times New Roman" w:hAnsi="Times New Roman" w:cs="Times New Roman"/>
                        </w:rPr>
                        <w:t>202</w:t>
                      </w:r>
                      <w:r w:rsidR="00A77ADA">
                        <w:rPr>
                          <w:rFonts w:ascii="Times New Roman" w:hAnsi="Times New Roman" w:cs="Times New Roman"/>
                        </w:rPr>
                        <w:t>2</w:t>
                      </w:r>
                      <w:r>
                        <w:rPr>
                          <w:rFonts w:ascii="Times New Roman" w:hAnsi="Times New Roman" w:cs="Times New Roman"/>
                        </w:rPr>
                        <w:t>)</w:t>
                      </w:r>
                    </w:p>
                  </w:txbxContent>
                </v:textbox>
              </v:shape>
            </w:pict>
          </mc:Fallback>
        </mc:AlternateContent>
      </w:r>
    </w:p>
    <w:p w14:paraId="7D01D365" w14:textId="30FBB6BA" w:rsidR="0021134F" w:rsidRPr="00B14ED8" w:rsidRDefault="0021134F" w:rsidP="00B14ED8">
      <w:pPr>
        <w:spacing w:after="0" w:line="360" w:lineRule="auto"/>
        <w:ind w:firstLine="567"/>
        <w:jc w:val="both"/>
        <w:rPr>
          <w:rFonts w:ascii="Times New Roman" w:eastAsia="Times New Roman" w:hAnsi="Times New Roman" w:cs="Times New Roman"/>
          <w:sz w:val="24"/>
          <w:szCs w:val="24"/>
        </w:rPr>
      </w:pPr>
    </w:p>
    <w:p w14:paraId="46CCB6FF" w14:textId="1A95148B" w:rsidR="0021134F" w:rsidRPr="00B14ED8" w:rsidRDefault="0021134F" w:rsidP="00B14ED8">
      <w:pPr>
        <w:spacing w:after="0" w:line="360" w:lineRule="auto"/>
        <w:jc w:val="both"/>
        <w:rPr>
          <w:rFonts w:ascii="Times New Roman" w:eastAsia="Times New Roman" w:hAnsi="Times New Roman" w:cs="Times New Roman"/>
          <w:sz w:val="24"/>
          <w:szCs w:val="24"/>
        </w:rPr>
      </w:pPr>
    </w:p>
    <w:p w14:paraId="5A8DCBA6" w14:textId="331830C8" w:rsidR="00834BC1" w:rsidRPr="00B14ED8" w:rsidRDefault="005623CF" w:rsidP="00B14ED8">
      <w:pPr>
        <w:spacing w:after="0" w:line="360" w:lineRule="auto"/>
        <w:ind w:firstLine="567"/>
        <w:jc w:val="both"/>
        <w:rPr>
          <w:rFonts w:ascii="Times New Roman" w:eastAsia="Times New Roman" w:hAnsi="Times New Roman" w:cs="Times New Roman"/>
          <w:sz w:val="24"/>
          <w:szCs w:val="24"/>
        </w:rPr>
      </w:pPr>
      <w:proofErr w:type="spellStart"/>
      <w:r w:rsidRPr="00B14ED8">
        <w:rPr>
          <w:rFonts w:ascii="Times New Roman" w:eastAsia="Times New Roman" w:hAnsi="Times New Roman" w:cs="Times New Roman"/>
          <w:sz w:val="24"/>
          <w:szCs w:val="24"/>
        </w:rPr>
        <w:lastRenderedPageBreak/>
        <w:t>Mengacu</w:t>
      </w:r>
      <w:proofErr w:type="spellEnd"/>
      <w:r w:rsidRPr="00B14ED8">
        <w:rPr>
          <w:rFonts w:ascii="Times New Roman" w:eastAsia="Times New Roman" w:hAnsi="Times New Roman" w:cs="Times New Roman"/>
          <w:sz w:val="24"/>
          <w:szCs w:val="24"/>
        </w:rPr>
        <w:t xml:space="preserve"> pada data </w:t>
      </w:r>
      <w:proofErr w:type="spellStart"/>
      <w:r w:rsidRPr="00B14ED8">
        <w:rPr>
          <w:rFonts w:ascii="Times New Roman" w:eastAsia="Times New Roman" w:hAnsi="Times New Roman" w:cs="Times New Roman"/>
          <w:sz w:val="24"/>
          <w:szCs w:val="24"/>
        </w:rPr>
        <w:t>grafik</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tersebut</w:t>
      </w:r>
      <w:proofErr w:type="spellEnd"/>
      <w:r w:rsidR="003B5EF5" w:rsidRPr="00B14ED8">
        <w:rPr>
          <w:rFonts w:ascii="Times New Roman" w:eastAsia="Times New Roman" w:hAnsi="Times New Roman" w:cs="Times New Roman"/>
          <w:sz w:val="24"/>
          <w:szCs w:val="24"/>
        </w:rPr>
        <w:t xml:space="preserve">, </w:t>
      </w:r>
      <w:proofErr w:type="spellStart"/>
      <w:r w:rsidR="003B5EF5" w:rsidRPr="00B14ED8">
        <w:rPr>
          <w:rFonts w:ascii="Times New Roman" w:eastAsia="Times New Roman" w:hAnsi="Times New Roman" w:cs="Times New Roman"/>
          <w:sz w:val="24"/>
          <w:szCs w:val="24"/>
        </w:rPr>
        <w:t>diketahui</w:t>
      </w:r>
      <w:proofErr w:type="spellEnd"/>
      <w:r w:rsidR="003B5EF5" w:rsidRPr="00B14ED8">
        <w:rPr>
          <w:rFonts w:ascii="Times New Roman" w:eastAsia="Times New Roman" w:hAnsi="Times New Roman" w:cs="Times New Roman"/>
          <w:sz w:val="24"/>
          <w:szCs w:val="24"/>
        </w:rPr>
        <w:t xml:space="preserve"> </w:t>
      </w:r>
      <w:proofErr w:type="spellStart"/>
      <w:r w:rsidR="003B5EF5" w:rsidRPr="00B14ED8">
        <w:rPr>
          <w:rFonts w:ascii="Times New Roman" w:eastAsia="Times New Roman" w:hAnsi="Times New Roman" w:cs="Times New Roman"/>
          <w:sz w:val="24"/>
          <w:szCs w:val="24"/>
        </w:rPr>
        <w:t>bahwa</w:t>
      </w:r>
      <w:proofErr w:type="spellEnd"/>
      <w:r w:rsidR="003B5EF5" w:rsidRPr="00B14ED8">
        <w:rPr>
          <w:rFonts w:ascii="Times New Roman" w:eastAsia="Times New Roman" w:hAnsi="Times New Roman" w:cs="Times New Roman"/>
          <w:sz w:val="24"/>
          <w:szCs w:val="24"/>
        </w:rPr>
        <w:t xml:space="preserve"> </w:t>
      </w:r>
      <w:proofErr w:type="spellStart"/>
      <w:r w:rsidR="003B5EF5" w:rsidRPr="00B14ED8">
        <w:rPr>
          <w:rFonts w:ascii="Times New Roman" w:eastAsia="Times New Roman" w:hAnsi="Times New Roman" w:cs="Times New Roman"/>
          <w:sz w:val="24"/>
          <w:szCs w:val="24"/>
        </w:rPr>
        <w:t>nilai</w:t>
      </w:r>
      <w:proofErr w:type="spellEnd"/>
      <w:r w:rsidR="0013166A" w:rsidRPr="00B14ED8">
        <w:rPr>
          <w:rFonts w:ascii="Times New Roman" w:eastAsia="Times New Roman" w:hAnsi="Times New Roman" w:cs="Times New Roman"/>
          <w:sz w:val="24"/>
          <w:szCs w:val="24"/>
        </w:rPr>
        <w:t xml:space="preserve"> </w:t>
      </w:r>
      <w:proofErr w:type="spellStart"/>
      <w:r w:rsidR="0013166A" w:rsidRPr="00B14ED8">
        <w:rPr>
          <w:rFonts w:ascii="Times New Roman" w:eastAsia="Times New Roman" w:hAnsi="Times New Roman" w:cs="Times New Roman"/>
          <w:sz w:val="24"/>
          <w:szCs w:val="24"/>
        </w:rPr>
        <w:t>pembiayaan</w:t>
      </w:r>
      <w:proofErr w:type="spellEnd"/>
      <w:r w:rsidR="00F24055" w:rsidRPr="00B14ED8">
        <w:rPr>
          <w:rFonts w:ascii="Times New Roman" w:eastAsia="Times New Roman" w:hAnsi="Times New Roman" w:cs="Times New Roman"/>
          <w:sz w:val="24"/>
          <w:szCs w:val="24"/>
        </w:rPr>
        <w:t xml:space="preserve"> </w:t>
      </w:r>
      <w:proofErr w:type="spellStart"/>
      <w:r w:rsidR="00F24055" w:rsidRPr="00B14ED8">
        <w:rPr>
          <w:rFonts w:ascii="Times New Roman" w:eastAsia="Times New Roman" w:hAnsi="Times New Roman" w:cs="Times New Roman"/>
          <w:i/>
          <w:iCs/>
          <w:sz w:val="24"/>
          <w:szCs w:val="24"/>
        </w:rPr>
        <w:t>musyarakah</w:t>
      </w:r>
      <w:proofErr w:type="spellEnd"/>
      <w:r w:rsidR="00F24055" w:rsidRPr="00B14ED8">
        <w:rPr>
          <w:rFonts w:ascii="Times New Roman" w:eastAsia="Times New Roman" w:hAnsi="Times New Roman" w:cs="Times New Roman"/>
          <w:i/>
          <w:iCs/>
          <w:sz w:val="24"/>
          <w:szCs w:val="24"/>
        </w:rPr>
        <w:t xml:space="preserve"> </w:t>
      </w:r>
      <w:r w:rsidR="00F24055" w:rsidRPr="00B14ED8">
        <w:rPr>
          <w:rFonts w:ascii="Times New Roman" w:eastAsia="Times New Roman" w:hAnsi="Times New Roman" w:cs="Times New Roman"/>
          <w:sz w:val="24"/>
          <w:szCs w:val="24"/>
        </w:rPr>
        <w:t xml:space="preserve">paling </w:t>
      </w:r>
      <w:proofErr w:type="spellStart"/>
      <w:r w:rsidR="00F24055" w:rsidRPr="00B14ED8">
        <w:rPr>
          <w:rFonts w:ascii="Times New Roman" w:eastAsia="Times New Roman" w:hAnsi="Times New Roman" w:cs="Times New Roman"/>
          <w:sz w:val="24"/>
          <w:szCs w:val="24"/>
        </w:rPr>
        <w:t>tinggi</w:t>
      </w:r>
      <w:proofErr w:type="spellEnd"/>
      <w:r w:rsidR="00F24055" w:rsidRPr="00B14ED8">
        <w:rPr>
          <w:rFonts w:ascii="Times New Roman" w:eastAsia="Times New Roman" w:hAnsi="Times New Roman" w:cs="Times New Roman"/>
          <w:sz w:val="24"/>
          <w:szCs w:val="24"/>
        </w:rPr>
        <w:t xml:space="preserve"> </w:t>
      </w:r>
      <w:proofErr w:type="spellStart"/>
      <w:r w:rsidR="00EF226D" w:rsidRPr="00B14ED8">
        <w:rPr>
          <w:rFonts w:ascii="Times New Roman" w:eastAsia="Times New Roman" w:hAnsi="Times New Roman" w:cs="Times New Roman"/>
          <w:sz w:val="24"/>
          <w:szCs w:val="24"/>
        </w:rPr>
        <w:t>terjadi</w:t>
      </w:r>
      <w:proofErr w:type="spellEnd"/>
      <w:r w:rsidR="00EF226D" w:rsidRPr="00B14ED8">
        <w:rPr>
          <w:rFonts w:ascii="Times New Roman" w:eastAsia="Times New Roman" w:hAnsi="Times New Roman" w:cs="Times New Roman"/>
          <w:sz w:val="24"/>
          <w:szCs w:val="24"/>
        </w:rPr>
        <w:t xml:space="preserve"> di </w:t>
      </w:r>
      <w:proofErr w:type="spellStart"/>
      <w:r w:rsidR="00F24055" w:rsidRPr="00B14ED8">
        <w:rPr>
          <w:rFonts w:ascii="Times New Roman" w:eastAsia="Times New Roman" w:hAnsi="Times New Roman" w:cs="Times New Roman"/>
          <w:sz w:val="24"/>
          <w:szCs w:val="24"/>
        </w:rPr>
        <w:t>tahun</w:t>
      </w:r>
      <w:proofErr w:type="spellEnd"/>
      <w:r w:rsidR="00F24055" w:rsidRPr="00B14ED8">
        <w:rPr>
          <w:rFonts w:ascii="Times New Roman" w:eastAsia="Times New Roman" w:hAnsi="Times New Roman" w:cs="Times New Roman"/>
          <w:sz w:val="24"/>
          <w:szCs w:val="24"/>
        </w:rPr>
        <w:t xml:space="preserve"> 202</w:t>
      </w:r>
      <w:r w:rsidR="001F4D56" w:rsidRPr="00B14ED8">
        <w:rPr>
          <w:rFonts w:ascii="Times New Roman" w:eastAsia="Times New Roman" w:hAnsi="Times New Roman" w:cs="Times New Roman"/>
          <w:sz w:val="24"/>
          <w:szCs w:val="24"/>
        </w:rPr>
        <w:t>2</w:t>
      </w:r>
      <w:r w:rsidR="00F24055" w:rsidRPr="00B14ED8">
        <w:rPr>
          <w:rFonts w:ascii="Times New Roman" w:eastAsia="Times New Roman" w:hAnsi="Times New Roman" w:cs="Times New Roman"/>
          <w:sz w:val="24"/>
          <w:szCs w:val="24"/>
        </w:rPr>
        <w:t xml:space="preserve"> </w:t>
      </w:r>
      <w:proofErr w:type="spellStart"/>
      <w:r w:rsidR="00F24055" w:rsidRPr="00B14ED8">
        <w:rPr>
          <w:rFonts w:ascii="Times New Roman" w:eastAsia="Times New Roman" w:hAnsi="Times New Roman" w:cs="Times New Roman"/>
          <w:sz w:val="24"/>
          <w:szCs w:val="24"/>
        </w:rPr>
        <w:t>dengan</w:t>
      </w:r>
      <w:proofErr w:type="spellEnd"/>
      <w:r w:rsidR="00F24055" w:rsidRPr="00B14ED8">
        <w:rPr>
          <w:rFonts w:ascii="Times New Roman" w:eastAsia="Times New Roman" w:hAnsi="Times New Roman" w:cs="Times New Roman"/>
          <w:sz w:val="24"/>
          <w:szCs w:val="24"/>
        </w:rPr>
        <w:t xml:space="preserve"> </w:t>
      </w:r>
      <w:proofErr w:type="spellStart"/>
      <w:r w:rsidR="00F24055" w:rsidRPr="00B14ED8">
        <w:rPr>
          <w:rFonts w:ascii="Times New Roman" w:eastAsia="Times New Roman" w:hAnsi="Times New Roman" w:cs="Times New Roman"/>
          <w:sz w:val="24"/>
          <w:szCs w:val="24"/>
        </w:rPr>
        <w:t>nilai</w:t>
      </w:r>
      <w:proofErr w:type="spellEnd"/>
      <w:r w:rsidR="00F24055" w:rsidRPr="00B14ED8">
        <w:rPr>
          <w:rFonts w:ascii="Times New Roman" w:eastAsia="Times New Roman" w:hAnsi="Times New Roman" w:cs="Times New Roman"/>
          <w:sz w:val="24"/>
          <w:szCs w:val="24"/>
        </w:rPr>
        <w:t xml:space="preserve"> </w:t>
      </w:r>
      <w:proofErr w:type="spellStart"/>
      <w:r w:rsidR="00F24055" w:rsidRPr="00B14ED8">
        <w:rPr>
          <w:rFonts w:ascii="Times New Roman" w:eastAsia="Times New Roman" w:hAnsi="Times New Roman" w:cs="Times New Roman"/>
          <w:sz w:val="24"/>
          <w:szCs w:val="24"/>
        </w:rPr>
        <w:t>mencapai</w:t>
      </w:r>
      <w:proofErr w:type="spellEnd"/>
      <w:r w:rsidR="00F24055" w:rsidRPr="00B14ED8">
        <w:rPr>
          <w:rFonts w:ascii="Times New Roman" w:eastAsia="Times New Roman" w:hAnsi="Times New Roman" w:cs="Times New Roman"/>
          <w:sz w:val="24"/>
          <w:szCs w:val="24"/>
        </w:rPr>
        <w:t xml:space="preserve"> </w:t>
      </w:r>
      <w:r w:rsidR="001F4D56" w:rsidRPr="00B14ED8">
        <w:rPr>
          <w:rFonts w:ascii="Times New Roman" w:eastAsia="Times New Roman" w:hAnsi="Times New Roman" w:cs="Times New Roman"/>
          <w:sz w:val="24"/>
          <w:szCs w:val="24"/>
        </w:rPr>
        <w:t>193</w:t>
      </w:r>
      <w:r w:rsidR="00F24055" w:rsidRPr="00B14ED8">
        <w:rPr>
          <w:rFonts w:ascii="Times New Roman" w:eastAsia="Times New Roman" w:hAnsi="Times New Roman" w:cs="Times New Roman"/>
          <w:sz w:val="24"/>
          <w:szCs w:val="24"/>
        </w:rPr>
        <w:t>.6</w:t>
      </w:r>
      <w:r w:rsidR="001F4D56" w:rsidRPr="00B14ED8">
        <w:rPr>
          <w:rFonts w:ascii="Times New Roman" w:eastAsia="Times New Roman" w:hAnsi="Times New Roman" w:cs="Times New Roman"/>
          <w:sz w:val="24"/>
          <w:szCs w:val="24"/>
        </w:rPr>
        <w:t>15</w:t>
      </w:r>
      <w:r w:rsidR="00F24055" w:rsidRPr="00B14ED8">
        <w:rPr>
          <w:rFonts w:ascii="Times New Roman" w:eastAsia="Times New Roman" w:hAnsi="Times New Roman" w:cs="Times New Roman"/>
          <w:sz w:val="24"/>
          <w:szCs w:val="24"/>
        </w:rPr>
        <w:t xml:space="preserve"> </w:t>
      </w:r>
      <w:proofErr w:type="spellStart"/>
      <w:r w:rsidR="00F24055" w:rsidRPr="00B14ED8">
        <w:rPr>
          <w:rFonts w:ascii="Times New Roman" w:eastAsia="Times New Roman" w:hAnsi="Times New Roman" w:cs="Times New Roman"/>
          <w:sz w:val="24"/>
          <w:szCs w:val="24"/>
        </w:rPr>
        <w:t>milia</w:t>
      </w:r>
      <w:r w:rsidR="005825CA" w:rsidRPr="00B14ED8">
        <w:rPr>
          <w:rFonts w:ascii="Times New Roman" w:eastAsia="Times New Roman" w:hAnsi="Times New Roman" w:cs="Times New Roman"/>
          <w:sz w:val="24"/>
          <w:szCs w:val="24"/>
        </w:rPr>
        <w:t>r</w:t>
      </w:r>
      <w:proofErr w:type="spellEnd"/>
      <w:r w:rsidR="005825CA" w:rsidRPr="00B14ED8">
        <w:rPr>
          <w:rFonts w:ascii="Times New Roman" w:eastAsia="Times New Roman" w:hAnsi="Times New Roman" w:cs="Times New Roman"/>
          <w:sz w:val="24"/>
          <w:szCs w:val="24"/>
        </w:rPr>
        <w:t xml:space="preserve"> rupiah</w:t>
      </w:r>
      <w:r w:rsidR="007D3033" w:rsidRPr="00B14ED8">
        <w:rPr>
          <w:rFonts w:ascii="Times New Roman" w:eastAsia="Times New Roman" w:hAnsi="Times New Roman" w:cs="Times New Roman"/>
          <w:sz w:val="24"/>
          <w:szCs w:val="24"/>
        </w:rPr>
        <w:t xml:space="preserve"> </w:t>
      </w:r>
      <w:proofErr w:type="spellStart"/>
      <w:r w:rsidR="007D3033" w:rsidRPr="00B14ED8">
        <w:rPr>
          <w:rFonts w:ascii="Times New Roman" w:eastAsia="Times New Roman" w:hAnsi="Times New Roman" w:cs="Times New Roman"/>
          <w:sz w:val="24"/>
          <w:szCs w:val="24"/>
        </w:rPr>
        <w:t>sementara</w:t>
      </w:r>
      <w:proofErr w:type="spellEnd"/>
      <w:r w:rsidR="007D3033" w:rsidRPr="00B14ED8">
        <w:rPr>
          <w:rFonts w:ascii="Times New Roman" w:eastAsia="Times New Roman" w:hAnsi="Times New Roman" w:cs="Times New Roman"/>
          <w:sz w:val="24"/>
          <w:szCs w:val="24"/>
        </w:rPr>
        <w:t xml:space="preserve"> </w:t>
      </w:r>
      <w:proofErr w:type="spellStart"/>
      <w:r w:rsidR="007D3033" w:rsidRPr="00B14ED8">
        <w:rPr>
          <w:rFonts w:ascii="Times New Roman" w:eastAsia="Times New Roman" w:hAnsi="Times New Roman" w:cs="Times New Roman"/>
          <w:sz w:val="24"/>
          <w:szCs w:val="24"/>
        </w:rPr>
        <w:t>nilai</w:t>
      </w:r>
      <w:proofErr w:type="spellEnd"/>
      <w:r w:rsidR="007D3033" w:rsidRPr="00B14ED8">
        <w:rPr>
          <w:rFonts w:ascii="Times New Roman" w:eastAsia="Times New Roman" w:hAnsi="Times New Roman" w:cs="Times New Roman"/>
          <w:sz w:val="24"/>
          <w:szCs w:val="24"/>
        </w:rPr>
        <w:t xml:space="preserve"> </w:t>
      </w:r>
      <w:proofErr w:type="spellStart"/>
      <w:r w:rsidR="007D3033" w:rsidRPr="00B14ED8">
        <w:rPr>
          <w:rFonts w:ascii="Times New Roman" w:eastAsia="Times New Roman" w:hAnsi="Times New Roman" w:cs="Times New Roman"/>
          <w:sz w:val="24"/>
          <w:szCs w:val="24"/>
        </w:rPr>
        <w:t>pembiayaan</w:t>
      </w:r>
      <w:proofErr w:type="spellEnd"/>
      <w:r w:rsidR="007D3033" w:rsidRPr="00B14ED8">
        <w:rPr>
          <w:rFonts w:ascii="Times New Roman" w:eastAsia="Times New Roman" w:hAnsi="Times New Roman" w:cs="Times New Roman"/>
          <w:sz w:val="24"/>
          <w:szCs w:val="24"/>
        </w:rPr>
        <w:t xml:space="preserve"> </w:t>
      </w:r>
      <w:r w:rsidR="00EF226D" w:rsidRPr="00B14ED8">
        <w:rPr>
          <w:rFonts w:ascii="Times New Roman" w:eastAsia="Times New Roman" w:hAnsi="Times New Roman" w:cs="Times New Roman"/>
          <w:sz w:val="24"/>
          <w:szCs w:val="24"/>
        </w:rPr>
        <w:t xml:space="preserve">paling </w:t>
      </w:r>
      <w:proofErr w:type="spellStart"/>
      <w:r w:rsidR="00EF226D" w:rsidRPr="00B14ED8">
        <w:rPr>
          <w:rFonts w:ascii="Times New Roman" w:eastAsia="Times New Roman" w:hAnsi="Times New Roman" w:cs="Times New Roman"/>
          <w:sz w:val="24"/>
          <w:szCs w:val="24"/>
        </w:rPr>
        <w:t>rendah</w:t>
      </w:r>
      <w:proofErr w:type="spellEnd"/>
      <w:r w:rsidR="00EF226D" w:rsidRPr="00B14ED8">
        <w:rPr>
          <w:rFonts w:ascii="Times New Roman" w:eastAsia="Times New Roman" w:hAnsi="Times New Roman" w:cs="Times New Roman"/>
          <w:sz w:val="24"/>
          <w:szCs w:val="24"/>
        </w:rPr>
        <w:t xml:space="preserve"> </w:t>
      </w:r>
      <w:proofErr w:type="spellStart"/>
      <w:r w:rsidR="00EF226D" w:rsidRPr="00B14ED8">
        <w:rPr>
          <w:rFonts w:ascii="Times New Roman" w:eastAsia="Times New Roman" w:hAnsi="Times New Roman" w:cs="Times New Roman"/>
          <w:sz w:val="24"/>
          <w:szCs w:val="24"/>
        </w:rPr>
        <w:t>terjadi</w:t>
      </w:r>
      <w:proofErr w:type="spellEnd"/>
      <w:r w:rsidR="00EF226D" w:rsidRPr="00B14ED8">
        <w:rPr>
          <w:rFonts w:ascii="Times New Roman" w:eastAsia="Times New Roman" w:hAnsi="Times New Roman" w:cs="Times New Roman"/>
          <w:sz w:val="24"/>
          <w:szCs w:val="24"/>
        </w:rPr>
        <w:t xml:space="preserve"> pada </w:t>
      </w:r>
      <w:proofErr w:type="spellStart"/>
      <w:r w:rsidR="00EF226D" w:rsidRPr="00B14ED8">
        <w:rPr>
          <w:rFonts w:ascii="Times New Roman" w:eastAsia="Times New Roman" w:hAnsi="Times New Roman" w:cs="Times New Roman"/>
          <w:sz w:val="24"/>
          <w:szCs w:val="24"/>
        </w:rPr>
        <w:t>tahun</w:t>
      </w:r>
      <w:proofErr w:type="spellEnd"/>
      <w:r w:rsidR="00EF226D" w:rsidRPr="00B14ED8">
        <w:rPr>
          <w:rFonts w:ascii="Times New Roman" w:eastAsia="Times New Roman" w:hAnsi="Times New Roman" w:cs="Times New Roman"/>
          <w:sz w:val="24"/>
          <w:szCs w:val="24"/>
        </w:rPr>
        <w:t xml:space="preserve"> 2017 </w:t>
      </w:r>
      <w:proofErr w:type="spellStart"/>
      <w:r w:rsidR="00EF226D" w:rsidRPr="00B14ED8">
        <w:rPr>
          <w:rFonts w:ascii="Times New Roman" w:eastAsia="Times New Roman" w:hAnsi="Times New Roman" w:cs="Times New Roman"/>
          <w:sz w:val="24"/>
          <w:szCs w:val="24"/>
        </w:rPr>
        <w:t>dengan</w:t>
      </w:r>
      <w:proofErr w:type="spellEnd"/>
      <w:r w:rsidR="00EF226D" w:rsidRPr="00B14ED8">
        <w:rPr>
          <w:rFonts w:ascii="Times New Roman" w:eastAsia="Times New Roman" w:hAnsi="Times New Roman" w:cs="Times New Roman"/>
          <w:sz w:val="24"/>
          <w:szCs w:val="24"/>
        </w:rPr>
        <w:t xml:space="preserve"> </w:t>
      </w:r>
      <w:proofErr w:type="spellStart"/>
      <w:r w:rsidR="00EF226D" w:rsidRPr="00B14ED8">
        <w:rPr>
          <w:rFonts w:ascii="Times New Roman" w:eastAsia="Times New Roman" w:hAnsi="Times New Roman" w:cs="Times New Roman"/>
          <w:sz w:val="24"/>
          <w:szCs w:val="24"/>
        </w:rPr>
        <w:t>nilai</w:t>
      </w:r>
      <w:proofErr w:type="spellEnd"/>
      <w:r w:rsidR="00EF226D" w:rsidRPr="00B14ED8">
        <w:rPr>
          <w:rFonts w:ascii="Times New Roman" w:eastAsia="Times New Roman" w:hAnsi="Times New Roman" w:cs="Times New Roman"/>
          <w:sz w:val="24"/>
          <w:szCs w:val="24"/>
        </w:rPr>
        <w:t xml:space="preserve"> 95.097 </w:t>
      </w:r>
      <w:proofErr w:type="spellStart"/>
      <w:r w:rsidR="00EF226D" w:rsidRPr="00B14ED8">
        <w:rPr>
          <w:rFonts w:ascii="Times New Roman" w:eastAsia="Times New Roman" w:hAnsi="Times New Roman" w:cs="Times New Roman"/>
          <w:sz w:val="24"/>
          <w:szCs w:val="24"/>
        </w:rPr>
        <w:t>miliar</w:t>
      </w:r>
      <w:proofErr w:type="spellEnd"/>
      <w:r w:rsidR="00EF226D" w:rsidRPr="00B14ED8">
        <w:rPr>
          <w:rFonts w:ascii="Times New Roman" w:eastAsia="Times New Roman" w:hAnsi="Times New Roman" w:cs="Times New Roman"/>
          <w:sz w:val="24"/>
          <w:szCs w:val="24"/>
        </w:rPr>
        <w:t xml:space="preserve"> rupiah. </w:t>
      </w:r>
      <w:proofErr w:type="spellStart"/>
      <w:r w:rsidR="0021197B" w:rsidRPr="00B14ED8">
        <w:rPr>
          <w:rFonts w:ascii="Times New Roman" w:eastAsia="Times New Roman" w:hAnsi="Times New Roman" w:cs="Times New Roman"/>
          <w:sz w:val="24"/>
          <w:szCs w:val="24"/>
        </w:rPr>
        <w:t>Kemudian</w:t>
      </w:r>
      <w:proofErr w:type="spellEnd"/>
      <w:r w:rsidR="0021197B" w:rsidRPr="00B14ED8">
        <w:rPr>
          <w:rFonts w:ascii="Times New Roman" w:eastAsia="Times New Roman" w:hAnsi="Times New Roman" w:cs="Times New Roman"/>
          <w:sz w:val="24"/>
          <w:szCs w:val="24"/>
        </w:rPr>
        <w:t xml:space="preserve"> </w:t>
      </w:r>
      <w:proofErr w:type="spellStart"/>
      <w:r w:rsidR="0021197B" w:rsidRPr="00B14ED8">
        <w:rPr>
          <w:rFonts w:ascii="Times New Roman" w:eastAsia="Times New Roman" w:hAnsi="Times New Roman" w:cs="Times New Roman"/>
          <w:sz w:val="24"/>
          <w:szCs w:val="24"/>
        </w:rPr>
        <w:t>apabila</w:t>
      </w:r>
      <w:proofErr w:type="spellEnd"/>
      <w:r w:rsidR="0021197B" w:rsidRPr="00B14ED8">
        <w:rPr>
          <w:rFonts w:ascii="Times New Roman" w:eastAsia="Times New Roman" w:hAnsi="Times New Roman" w:cs="Times New Roman"/>
          <w:sz w:val="24"/>
          <w:szCs w:val="24"/>
        </w:rPr>
        <w:t xml:space="preserve"> </w:t>
      </w:r>
      <w:proofErr w:type="spellStart"/>
      <w:r w:rsidR="0021197B" w:rsidRPr="00B14ED8">
        <w:rPr>
          <w:rFonts w:ascii="Times New Roman" w:eastAsia="Times New Roman" w:hAnsi="Times New Roman" w:cs="Times New Roman"/>
          <w:sz w:val="24"/>
          <w:szCs w:val="24"/>
        </w:rPr>
        <w:t>ditelaah</w:t>
      </w:r>
      <w:proofErr w:type="spellEnd"/>
      <w:r w:rsidR="0021197B" w:rsidRPr="00B14ED8">
        <w:rPr>
          <w:rFonts w:ascii="Times New Roman" w:eastAsia="Times New Roman" w:hAnsi="Times New Roman" w:cs="Times New Roman"/>
          <w:sz w:val="24"/>
          <w:szCs w:val="24"/>
        </w:rPr>
        <w:t xml:space="preserve"> </w:t>
      </w:r>
      <w:proofErr w:type="spellStart"/>
      <w:r w:rsidR="0021197B" w:rsidRPr="00B14ED8">
        <w:rPr>
          <w:rFonts w:ascii="Times New Roman" w:eastAsia="Times New Roman" w:hAnsi="Times New Roman" w:cs="Times New Roman"/>
          <w:sz w:val="24"/>
          <w:szCs w:val="24"/>
        </w:rPr>
        <w:t>dari</w:t>
      </w:r>
      <w:proofErr w:type="spellEnd"/>
      <w:r w:rsidR="0021197B" w:rsidRPr="00B14ED8">
        <w:rPr>
          <w:rFonts w:ascii="Times New Roman" w:eastAsia="Times New Roman" w:hAnsi="Times New Roman" w:cs="Times New Roman"/>
          <w:sz w:val="24"/>
          <w:szCs w:val="24"/>
        </w:rPr>
        <w:t xml:space="preserve"> </w:t>
      </w:r>
      <w:proofErr w:type="spellStart"/>
      <w:r w:rsidR="0021197B" w:rsidRPr="00B14ED8">
        <w:rPr>
          <w:rFonts w:ascii="Times New Roman" w:eastAsia="Times New Roman" w:hAnsi="Times New Roman" w:cs="Times New Roman"/>
          <w:sz w:val="24"/>
          <w:szCs w:val="24"/>
        </w:rPr>
        <w:t>segi</w:t>
      </w:r>
      <w:proofErr w:type="spellEnd"/>
      <w:r w:rsidR="0021197B" w:rsidRPr="00B14ED8">
        <w:rPr>
          <w:rFonts w:ascii="Times New Roman" w:eastAsia="Times New Roman" w:hAnsi="Times New Roman" w:cs="Times New Roman"/>
          <w:sz w:val="24"/>
          <w:szCs w:val="24"/>
        </w:rPr>
        <w:t xml:space="preserve"> </w:t>
      </w:r>
      <w:proofErr w:type="spellStart"/>
      <w:r w:rsidR="006D623F" w:rsidRPr="00B14ED8">
        <w:rPr>
          <w:rFonts w:ascii="Times New Roman" w:eastAsia="Times New Roman" w:hAnsi="Times New Roman" w:cs="Times New Roman"/>
          <w:sz w:val="24"/>
          <w:szCs w:val="24"/>
        </w:rPr>
        <w:t>nilai</w:t>
      </w:r>
      <w:proofErr w:type="spellEnd"/>
      <w:r w:rsidR="006D623F" w:rsidRPr="00B14ED8">
        <w:rPr>
          <w:rFonts w:ascii="Times New Roman" w:eastAsia="Times New Roman" w:hAnsi="Times New Roman" w:cs="Times New Roman"/>
          <w:sz w:val="24"/>
          <w:szCs w:val="24"/>
        </w:rPr>
        <w:t xml:space="preserve"> </w:t>
      </w:r>
      <w:proofErr w:type="spellStart"/>
      <w:r w:rsidR="0021197B" w:rsidRPr="00B14ED8">
        <w:rPr>
          <w:rFonts w:ascii="Times New Roman" w:eastAsia="Times New Roman" w:hAnsi="Times New Roman" w:cs="Times New Roman"/>
          <w:sz w:val="24"/>
          <w:szCs w:val="24"/>
        </w:rPr>
        <w:t>kinerja</w:t>
      </w:r>
      <w:proofErr w:type="spellEnd"/>
      <w:r w:rsidR="0021197B" w:rsidRPr="00B14ED8">
        <w:rPr>
          <w:rFonts w:ascii="Times New Roman" w:eastAsia="Times New Roman" w:hAnsi="Times New Roman" w:cs="Times New Roman"/>
          <w:sz w:val="24"/>
          <w:szCs w:val="24"/>
        </w:rPr>
        <w:t xml:space="preserve"> </w:t>
      </w:r>
      <w:proofErr w:type="spellStart"/>
      <w:r w:rsidR="0021197B" w:rsidRPr="00B14ED8">
        <w:rPr>
          <w:rFonts w:ascii="Times New Roman" w:eastAsia="Times New Roman" w:hAnsi="Times New Roman" w:cs="Times New Roman"/>
          <w:sz w:val="24"/>
          <w:szCs w:val="24"/>
        </w:rPr>
        <w:t>keuangan</w:t>
      </w:r>
      <w:proofErr w:type="spellEnd"/>
      <w:r w:rsidR="0021197B" w:rsidRPr="00B14ED8">
        <w:rPr>
          <w:rFonts w:ascii="Times New Roman" w:eastAsia="Times New Roman" w:hAnsi="Times New Roman" w:cs="Times New Roman"/>
          <w:sz w:val="24"/>
          <w:szCs w:val="24"/>
        </w:rPr>
        <w:t xml:space="preserve"> </w:t>
      </w:r>
      <w:r w:rsidR="007D69AD" w:rsidRPr="00B14ED8">
        <w:rPr>
          <w:rFonts w:ascii="Times New Roman" w:eastAsia="Times New Roman" w:hAnsi="Times New Roman" w:cs="Times New Roman"/>
          <w:sz w:val="24"/>
          <w:szCs w:val="24"/>
        </w:rPr>
        <w:t xml:space="preserve">yang </w:t>
      </w:r>
      <w:proofErr w:type="spellStart"/>
      <w:r w:rsidR="007D69AD" w:rsidRPr="00B14ED8">
        <w:rPr>
          <w:rFonts w:ascii="Times New Roman" w:eastAsia="Times New Roman" w:hAnsi="Times New Roman" w:cs="Times New Roman"/>
          <w:sz w:val="24"/>
          <w:szCs w:val="24"/>
        </w:rPr>
        <w:t>diindikasikan</w:t>
      </w:r>
      <w:proofErr w:type="spellEnd"/>
      <w:r w:rsidR="007D69AD" w:rsidRPr="00B14ED8">
        <w:rPr>
          <w:rFonts w:ascii="Times New Roman" w:eastAsia="Times New Roman" w:hAnsi="Times New Roman" w:cs="Times New Roman"/>
          <w:sz w:val="24"/>
          <w:szCs w:val="24"/>
        </w:rPr>
        <w:t xml:space="preserve"> </w:t>
      </w:r>
      <w:proofErr w:type="spellStart"/>
      <w:r w:rsidR="007D69AD" w:rsidRPr="00B14ED8">
        <w:rPr>
          <w:rFonts w:ascii="Times New Roman" w:eastAsia="Times New Roman" w:hAnsi="Times New Roman" w:cs="Times New Roman"/>
          <w:sz w:val="24"/>
          <w:szCs w:val="24"/>
        </w:rPr>
        <w:t>dari</w:t>
      </w:r>
      <w:proofErr w:type="spellEnd"/>
      <w:r w:rsidR="007D69AD" w:rsidRPr="00B14ED8">
        <w:rPr>
          <w:rFonts w:ascii="Times New Roman" w:eastAsia="Times New Roman" w:hAnsi="Times New Roman" w:cs="Times New Roman"/>
          <w:sz w:val="24"/>
          <w:szCs w:val="24"/>
        </w:rPr>
        <w:t xml:space="preserve"> </w:t>
      </w:r>
      <w:proofErr w:type="spellStart"/>
      <w:r w:rsidR="007D69AD" w:rsidRPr="00B14ED8">
        <w:rPr>
          <w:rFonts w:ascii="Times New Roman" w:eastAsia="Times New Roman" w:hAnsi="Times New Roman" w:cs="Times New Roman"/>
          <w:sz w:val="24"/>
          <w:szCs w:val="24"/>
        </w:rPr>
        <w:t>nilai</w:t>
      </w:r>
      <w:proofErr w:type="spellEnd"/>
      <w:r w:rsidR="007D69AD" w:rsidRPr="00B14ED8">
        <w:rPr>
          <w:rFonts w:ascii="Times New Roman" w:eastAsia="Times New Roman" w:hAnsi="Times New Roman" w:cs="Times New Roman"/>
          <w:sz w:val="24"/>
          <w:szCs w:val="24"/>
        </w:rPr>
        <w:t xml:space="preserve"> </w:t>
      </w:r>
      <w:r w:rsidR="007D69AD" w:rsidRPr="00B14ED8">
        <w:rPr>
          <w:rFonts w:ascii="Times New Roman" w:eastAsia="Times New Roman" w:hAnsi="Times New Roman" w:cs="Times New Roman"/>
          <w:i/>
          <w:iCs/>
          <w:sz w:val="24"/>
          <w:szCs w:val="24"/>
        </w:rPr>
        <w:t xml:space="preserve">return on asset </w:t>
      </w:r>
      <w:proofErr w:type="spellStart"/>
      <w:r w:rsidR="006D623F" w:rsidRPr="00B14ED8">
        <w:rPr>
          <w:rFonts w:ascii="Times New Roman" w:eastAsia="Times New Roman" w:hAnsi="Times New Roman" w:cs="Times New Roman"/>
          <w:sz w:val="24"/>
          <w:szCs w:val="24"/>
        </w:rPr>
        <w:t>dijabarkan</w:t>
      </w:r>
      <w:proofErr w:type="spellEnd"/>
      <w:r w:rsidR="006D623F" w:rsidRPr="00B14ED8">
        <w:rPr>
          <w:rFonts w:ascii="Times New Roman" w:eastAsia="Times New Roman" w:hAnsi="Times New Roman" w:cs="Times New Roman"/>
          <w:sz w:val="24"/>
          <w:szCs w:val="24"/>
        </w:rPr>
        <w:t xml:space="preserve"> pada </w:t>
      </w:r>
      <w:proofErr w:type="spellStart"/>
      <w:r w:rsidR="006D623F" w:rsidRPr="00B14ED8">
        <w:rPr>
          <w:rFonts w:ascii="Times New Roman" w:eastAsia="Times New Roman" w:hAnsi="Times New Roman" w:cs="Times New Roman"/>
          <w:sz w:val="24"/>
          <w:szCs w:val="24"/>
        </w:rPr>
        <w:t>grafik</w:t>
      </w:r>
      <w:proofErr w:type="spellEnd"/>
      <w:r w:rsidR="006D623F" w:rsidRPr="00B14ED8">
        <w:rPr>
          <w:rFonts w:ascii="Times New Roman" w:eastAsia="Times New Roman" w:hAnsi="Times New Roman" w:cs="Times New Roman"/>
          <w:sz w:val="24"/>
          <w:szCs w:val="24"/>
        </w:rPr>
        <w:t xml:space="preserve"> di </w:t>
      </w:r>
      <w:proofErr w:type="spellStart"/>
      <w:r w:rsidR="006D623F" w:rsidRPr="00B14ED8">
        <w:rPr>
          <w:rFonts w:ascii="Times New Roman" w:eastAsia="Times New Roman" w:hAnsi="Times New Roman" w:cs="Times New Roman"/>
          <w:sz w:val="24"/>
          <w:szCs w:val="24"/>
        </w:rPr>
        <w:t>bawah</w:t>
      </w:r>
      <w:proofErr w:type="spellEnd"/>
      <w:r w:rsidR="006D623F" w:rsidRPr="00B14ED8">
        <w:rPr>
          <w:rFonts w:ascii="Times New Roman" w:eastAsia="Times New Roman" w:hAnsi="Times New Roman" w:cs="Times New Roman"/>
          <w:sz w:val="24"/>
          <w:szCs w:val="24"/>
        </w:rPr>
        <w:t xml:space="preserve"> </w:t>
      </w:r>
      <w:proofErr w:type="spellStart"/>
      <w:r w:rsidR="006D623F" w:rsidRPr="00B14ED8">
        <w:rPr>
          <w:rFonts w:ascii="Times New Roman" w:eastAsia="Times New Roman" w:hAnsi="Times New Roman" w:cs="Times New Roman"/>
          <w:sz w:val="24"/>
          <w:szCs w:val="24"/>
        </w:rPr>
        <w:t>ini</w:t>
      </w:r>
      <w:proofErr w:type="spellEnd"/>
      <w:r w:rsidR="006D623F" w:rsidRPr="00B14ED8">
        <w:rPr>
          <w:rFonts w:ascii="Times New Roman" w:eastAsia="Times New Roman" w:hAnsi="Times New Roman" w:cs="Times New Roman"/>
          <w:sz w:val="24"/>
          <w:szCs w:val="24"/>
        </w:rPr>
        <w:t>:</w:t>
      </w:r>
    </w:p>
    <w:p w14:paraId="5164F1C8" w14:textId="0AE64BFF" w:rsidR="00834BC1" w:rsidRPr="00B14ED8" w:rsidRDefault="006D623F" w:rsidP="00B14ED8">
      <w:pPr>
        <w:spacing w:after="0" w:line="360" w:lineRule="auto"/>
        <w:ind w:firstLine="567"/>
        <w:jc w:val="both"/>
        <w:rPr>
          <w:rFonts w:ascii="Times New Roman" w:eastAsia="Times New Roman" w:hAnsi="Times New Roman" w:cs="Times New Roman"/>
          <w:sz w:val="24"/>
          <w:szCs w:val="24"/>
        </w:rPr>
      </w:pPr>
      <w:r w:rsidRPr="00B14ED8">
        <w:rPr>
          <w:rFonts w:ascii="Times New Roman" w:hAnsi="Times New Roman" w:cs="Times New Roman"/>
          <w:noProof/>
          <w:sz w:val="24"/>
          <w:szCs w:val="24"/>
        </w:rPr>
        <w:drawing>
          <wp:anchor distT="0" distB="0" distL="114300" distR="114300" simplePos="0" relativeHeight="251667456" behindDoc="0" locked="0" layoutInCell="1" allowOverlap="1" wp14:anchorId="4CDF997E" wp14:editId="6DB47C00">
            <wp:simplePos x="0" y="0"/>
            <wp:positionH relativeFrom="column">
              <wp:posOffset>-10160</wp:posOffset>
            </wp:positionH>
            <wp:positionV relativeFrom="paragraph">
              <wp:posOffset>80024</wp:posOffset>
            </wp:positionV>
            <wp:extent cx="5723890" cy="1807535"/>
            <wp:effectExtent l="0" t="0" r="10160" b="2540"/>
            <wp:wrapNone/>
            <wp:docPr id="190729572" name="Chart 1">
              <a:extLst xmlns:a="http://schemas.openxmlformats.org/drawingml/2006/main">
                <a:ext uri="{FF2B5EF4-FFF2-40B4-BE49-F238E27FC236}">
                  <a16:creationId xmlns:a16="http://schemas.microsoft.com/office/drawing/2014/main" id="{CB45C417-57C9-4CE4-FFFA-6CA820B890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2A05AC58" w14:textId="40D84C6D" w:rsidR="00D84032" w:rsidRPr="00B14ED8" w:rsidRDefault="00D84032" w:rsidP="00B14ED8">
      <w:pPr>
        <w:spacing w:after="0" w:line="360" w:lineRule="auto"/>
        <w:ind w:firstLine="567"/>
        <w:jc w:val="both"/>
        <w:rPr>
          <w:rFonts w:ascii="Times New Roman" w:eastAsia="Times New Roman" w:hAnsi="Times New Roman" w:cs="Times New Roman"/>
          <w:sz w:val="24"/>
          <w:szCs w:val="24"/>
        </w:rPr>
      </w:pPr>
    </w:p>
    <w:p w14:paraId="4F8D343B" w14:textId="77777777" w:rsidR="00D84032" w:rsidRPr="00B14ED8" w:rsidRDefault="00D84032" w:rsidP="00B14ED8">
      <w:pPr>
        <w:spacing w:after="0" w:line="360" w:lineRule="auto"/>
        <w:ind w:firstLine="567"/>
        <w:jc w:val="both"/>
        <w:rPr>
          <w:rFonts w:ascii="Times New Roman" w:eastAsia="Times New Roman" w:hAnsi="Times New Roman" w:cs="Times New Roman"/>
          <w:sz w:val="24"/>
          <w:szCs w:val="24"/>
        </w:rPr>
      </w:pPr>
    </w:p>
    <w:p w14:paraId="2A8C1B19" w14:textId="6D0FF69D" w:rsidR="00D84032" w:rsidRPr="00B14ED8" w:rsidRDefault="00D84032" w:rsidP="00B14ED8">
      <w:pPr>
        <w:spacing w:after="0" w:line="360" w:lineRule="auto"/>
        <w:ind w:firstLine="567"/>
        <w:jc w:val="both"/>
        <w:rPr>
          <w:rFonts w:ascii="Times New Roman" w:eastAsia="Times New Roman" w:hAnsi="Times New Roman" w:cs="Times New Roman"/>
          <w:sz w:val="24"/>
          <w:szCs w:val="24"/>
        </w:rPr>
      </w:pPr>
    </w:p>
    <w:p w14:paraId="1871D432" w14:textId="7DBE7C12" w:rsidR="006D623F" w:rsidRPr="00B14ED8" w:rsidRDefault="006D623F" w:rsidP="00B14ED8">
      <w:pPr>
        <w:spacing w:after="0" w:line="360" w:lineRule="auto"/>
        <w:ind w:firstLine="567"/>
        <w:jc w:val="both"/>
        <w:rPr>
          <w:rFonts w:ascii="Times New Roman" w:eastAsia="Times New Roman" w:hAnsi="Times New Roman" w:cs="Times New Roman"/>
          <w:sz w:val="24"/>
          <w:szCs w:val="24"/>
        </w:rPr>
      </w:pPr>
    </w:p>
    <w:p w14:paraId="58FD96BB" w14:textId="77777777" w:rsidR="006D623F" w:rsidRPr="00B14ED8" w:rsidRDefault="006D623F" w:rsidP="00B14ED8">
      <w:pPr>
        <w:spacing w:after="0" w:line="360" w:lineRule="auto"/>
        <w:ind w:firstLine="567"/>
        <w:jc w:val="both"/>
        <w:rPr>
          <w:rFonts w:ascii="Times New Roman" w:eastAsia="Times New Roman" w:hAnsi="Times New Roman" w:cs="Times New Roman"/>
          <w:sz w:val="24"/>
          <w:szCs w:val="24"/>
        </w:rPr>
      </w:pPr>
    </w:p>
    <w:p w14:paraId="0B860024" w14:textId="3DC13B9B" w:rsidR="006D623F" w:rsidRPr="00B14ED8" w:rsidRDefault="006D623F" w:rsidP="00B14ED8">
      <w:pPr>
        <w:spacing w:after="0" w:line="360" w:lineRule="auto"/>
        <w:ind w:firstLine="567"/>
        <w:jc w:val="both"/>
        <w:rPr>
          <w:rFonts w:ascii="Times New Roman" w:eastAsia="Times New Roman" w:hAnsi="Times New Roman" w:cs="Times New Roman"/>
          <w:sz w:val="24"/>
          <w:szCs w:val="24"/>
        </w:rPr>
      </w:pPr>
    </w:p>
    <w:p w14:paraId="0773BECF" w14:textId="4C9F5BD0" w:rsidR="006D623F" w:rsidRPr="00B14ED8" w:rsidRDefault="00B14ED8" w:rsidP="00B14ED8">
      <w:pPr>
        <w:spacing w:after="0" w:line="360" w:lineRule="auto"/>
        <w:jc w:val="both"/>
        <w:rPr>
          <w:rFonts w:ascii="Times New Roman" w:eastAsia="Times New Roman" w:hAnsi="Times New Roman" w:cs="Times New Roman"/>
          <w:sz w:val="24"/>
          <w:szCs w:val="24"/>
        </w:rPr>
      </w:pPr>
      <w:r w:rsidRPr="00B14ED8">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86CE5DC" wp14:editId="3A785ECF">
                <wp:simplePos x="0" y="0"/>
                <wp:positionH relativeFrom="column">
                  <wp:posOffset>11430</wp:posOffset>
                </wp:positionH>
                <wp:positionV relativeFrom="paragraph">
                  <wp:posOffset>249555</wp:posOffset>
                </wp:positionV>
                <wp:extent cx="5701030" cy="635"/>
                <wp:effectExtent l="0" t="0" r="0" b="2540"/>
                <wp:wrapNone/>
                <wp:docPr id="136025124" name="Text Box 1"/>
                <wp:cNvGraphicFramePr/>
                <a:graphic xmlns:a="http://schemas.openxmlformats.org/drawingml/2006/main">
                  <a:graphicData uri="http://schemas.microsoft.com/office/word/2010/wordprocessingShape">
                    <wps:wsp>
                      <wps:cNvSpPr txBox="1"/>
                      <wps:spPr>
                        <a:xfrm>
                          <a:off x="0" y="0"/>
                          <a:ext cx="5701030" cy="635"/>
                        </a:xfrm>
                        <a:prstGeom prst="rect">
                          <a:avLst/>
                        </a:prstGeom>
                        <a:solidFill>
                          <a:prstClr val="white"/>
                        </a:solidFill>
                        <a:ln>
                          <a:noFill/>
                        </a:ln>
                      </wps:spPr>
                      <wps:txbx>
                        <w:txbxContent>
                          <w:p w14:paraId="140FEC09" w14:textId="3599B477" w:rsidR="006D623F" w:rsidRPr="009D7EC2" w:rsidRDefault="006D623F" w:rsidP="006D623F">
                            <w:pPr>
                              <w:pStyle w:val="Caption"/>
                              <w:spacing w:after="0"/>
                              <w:jc w:val="center"/>
                              <w:rPr>
                                <w:rFonts w:ascii="Times New Roman" w:hAnsi="Times New Roman" w:cs="Times New Roman"/>
                                <w:i w:val="0"/>
                                <w:iCs w:val="0"/>
                                <w:color w:val="000000" w:themeColor="text1"/>
                                <w:sz w:val="22"/>
                                <w:szCs w:val="22"/>
                              </w:rPr>
                            </w:pPr>
                            <w:r w:rsidRPr="009D7EC2">
                              <w:rPr>
                                <w:rFonts w:ascii="Times New Roman" w:hAnsi="Times New Roman" w:cs="Times New Roman"/>
                                <w:i w:val="0"/>
                                <w:iCs w:val="0"/>
                                <w:color w:val="000000" w:themeColor="text1"/>
                                <w:sz w:val="22"/>
                                <w:szCs w:val="22"/>
                              </w:rPr>
                              <w:t xml:space="preserve">Gambar  </w:t>
                            </w:r>
                            <w:r w:rsidRPr="009D7EC2">
                              <w:rPr>
                                <w:rFonts w:ascii="Times New Roman" w:hAnsi="Times New Roman" w:cs="Times New Roman"/>
                                <w:i w:val="0"/>
                                <w:iCs w:val="0"/>
                                <w:color w:val="000000" w:themeColor="text1"/>
                                <w:sz w:val="22"/>
                                <w:szCs w:val="22"/>
                              </w:rPr>
                              <w:fldChar w:fldCharType="begin"/>
                            </w:r>
                            <w:r w:rsidRPr="009D7EC2">
                              <w:rPr>
                                <w:rFonts w:ascii="Times New Roman" w:hAnsi="Times New Roman" w:cs="Times New Roman"/>
                                <w:i w:val="0"/>
                                <w:iCs w:val="0"/>
                                <w:color w:val="000000" w:themeColor="text1"/>
                                <w:sz w:val="22"/>
                                <w:szCs w:val="22"/>
                              </w:rPr>
                              <w:instrText xml:space="preserve"> SEQ Gambar_ \* ARABIC </w:instrText>
                            </w:r>
                            <w:r w:rsidRPr="009D7EC2">
                              <w:rPr>
                                <w:rFonts w:ascii="Times New Roman" w:hAnsi="Times New Roman" w:cs="Times New Roman"/>
                                <w:i w:val="0"/>
                                <w:iCs w:val="0"/>
                                <w:color w:val="000000" w:themeColor="text1"/>
                                <w:sz w:val="22"/>
                                <w:szCs w:val="22"/>
                              </w:rPr>
                              <w:fldChar w:fldCharType="separate"/>
                            </w:r>
                            <w:r w:rsidR="00940D99">
                              <w:rPr>
                                <w:rFonts w:ascii="Times New Roman" w:hAnsi="Times New Roman" w:cs="Times New Roman"/>
                                <w:i w:val="0"/>
                                <w:iCs w:val="0"/>
                                <w:noProof/>
                                <w:color w:val="000000" w:themeColor="text1"/>
                                <w:sz w:val="22"/>
                                <w:szCs w:val="22"/>
                              </w:rPr>
                              <w:t>3</w:t>
                            </w:r>
                            <w:r w:rsidRPr="009D7EC2">
                              <w:rPr>
                                <w:rFonts w:ascii="Times New Roman" w:hAnsi="Times New Roman" w:cs="Times New Roman"/>
                                <w:i w:val="0"/>
                                <w:iCs w:val="0"/>
                                <w:color w:val="000000" w:themeColor="text1"/>
                                <w:sz w:val="22"/>
                                <w:szCs w:val="22"/>
                              </w:rPr>
                              <w:fldChar w:fldCharType="end"/>
                            </w:r>
                            <w:r w:rsidRPr="009D7EC2">
                              <w:rPr>
                                <w:rFonts w:ascii="Times New Roman" w:hAnsi="Times New Roman" w:cs="Times New Roman"/>
                                <w:i w:val="0"/>
                                <w:iCs w:val="0"/>
                                <w:color w:val="000000" w:themeColor="text1"/>
                                <w:sz w:val="22"/>
                                <w:szCs w:val="22"/>
                              </w:rPr>
                              <w:t xml:space="preserve">. Nilai Rata – Rata </w:t>
                            </w:r>
                            <w:r w:rsidRPr="009D7EC2">
                              <w:rPr>
                                <w:rFonts w:ascii="Times New Roman" w:hAnsi="Times New Roman" w:cs="Times New Roman"/>
                                <w:i w:val="0"/>
                                <w:iCs w:val="0"/>
                                <w:color w:val="000000" w:themeColor="text1"/>
                                <w:sz w:val="22"/>
                                <w:szCs w:val="22"/>
                              </w:rPr>
                              <w:t xml:space="preserve">Pembiayaan </w:t>
                            </w:r>
                            <w:r w:rsidRPr="00807BEE">
                              <w:rPr>
                                <w:rFonts w:ascii="Times New Roman" w:hAnsi="Times New Roman" w:cs="Times New Roman"/>
                                <w:color w:val="000000" w:themeColor="text1"/>
                                <w:sz w:val="22"/>
                                <w:szCs w:val="22"/>
                              </w:rPr>
                              <w:t>Mu</w:t>
                            </w:r>
                            <w:r>
                              <w:rPr>
                                <w:rFonts w:ascii="Times New Roman" w:hAnsi="Times New Roman" w:cs="Times New Roman"/>
                                <w:color w:val="000000" w:themeColor="text1"/>
                                <w:sz w:val="22"/>
                                <w:szCs w:val="22"/>
                              </w:rPr>
                              <w:t>syarakah</w:t>
                            </w:r>
                            <w:r w:rsidRPr="009D7EC2">
                              <w:rPr>
                                <w:rFonts w:ascii="Times New Roman" w:hAnsi="Times New Roman" w:cs="Times New Roman"/>
                                <w:i w:val="0"/>
                                <w:iCs w:val="0"/>
                                <w:color w:val="000000" w:themeColor="text1"/>
                                <w:sz w:val="22"/>
                                <w:szCs w:val="22"/>
                              </w:rPr>
                              <w:t xml:space="preserve"> 20</w:t>
                            </w:r>
                            <w:r>
                              <w:rPr>
                                <w:rFonts w:ascii="Times New Roman" w:hAnsi="Times New Roman" w:cs="Times New Roman"/>
                                <w:i w:val="0"/>
                                <w:iCs w:val="0"/>
                                <w:color w:val="000000" w:themeColor="text1"/>
                                <w:sz w:val="22"/>
                                <w:szCs w:val="22"/>
                              </w:rPr>
                              <w:t>17</w:t>
                            </w:r>
                            <w:r w:rsidRPr="009D7EC2">
                              <w:rPr>
                                <w:rFonts w:ascii="Times New Roman" w:hAnsi="Times New Roman" w:cs="Times New Roman"/>
                                <w:i w:val="0"/>
                                <w:iCs w:val="0"/>
                                <w:color w:val="000000" w:themeColor="text1"/>
                                <w:sz w:val="22"/>
                                <w:szCs w:val="22"/>
                              </w:rPr>
                              <w:t xml:space="preserve"> – 202</w:t>
                            </w:r>
                            <w:r w:rsidR="00A77ADA">
                              <w:rPr>
                                <w:rFonts w:ascii="Times New Roman" w:hAnsi="Times New Roman" w:cs="Times New Roman"/>
                                <w:i w:val="0"/>
                                <w:iCs w:val="0"/>
                                <w:color w:val="000000" w:themeColor="text1"/>
                                <w:sz w:val="22"/>
                                <w:szCs w:val="22"/>
                              </w:rPr>
                              <w:t>2</w:t>
                            </w:r>
                          </w:p>
                          <w:p w14:paraId="41DED6FB" w14:textId="1ED2BE6D" w:rsidR="006D623F" w:rsidRPr="009D7EC2" w:rsidRDefault="006D623F" w:rsidP="006D623F">
                            <w:pPr>
                              <w:spacing w:after="0" w:line="240" w:lineRule="auto"/>
                              <w:jc w:val="center"/>
                              <w:rPr>
                                <w:rFonts w:ascii="Times New Roman" w:hAnsi="Times New Roman" w:cs="Times New Roman"/>
                              </w:rPr>
                            </w:pPr>
                            <w:r>
                              <w:rPr>
                                <w:rFonts w:ascii="Times New Roman" w:hAnsi="Times New Roman" w:cs="Times New Roman"/>
                              </w:rPr>
                              <w:t>(</w:t>
                            </w:r>
                            <w:r w:rsidRPr="009D7EC2">
                              <w:rPr>
                                <w:rFonts w:ascii="Times New Roman" w:hAnsi="Times New Roman" w:cs="Times New Roman"/>
                              </w:rPr>
                              <w:t xml:space="preserve">Sumber: Laporan Statistik Perbankan Syariah OJK </w:t>
                            </w:r>
                            <w:r>
                              <w:rPr>
                                <w:rFonts w:ascii="Times New Roman" w:hAnsi="Times New Roman" w:cs="Times New Roman"/>
                              </w:rPr>
                              <w:t xml:space="preserve">2017 - </w:t>
                            </w:r>
                            <w:r w:rsidRPr="009D7EC2">
                              <w:rPr>
                                <w:rFonts w:ascii="Times New Roman" w:hAnsi="Times New Roman" w:cs="Times New Roman"/>
                              </w:rPr>
                              <w:t>202</w:t>
                            </w:r>
                            <w:r w:rsidR="00A77ADA">
                              <w:rPr>
                                <w:rFonts w:ascii="Times New Roman" w:hAnsi="Times New Roman" w:cs="Times New Roman"/>
                              </w:rPr>
                              <w:t>2</w:t>
                            </w:r>
                            <w:r>
                              <w:rPr>
                                <w:rFonts w:ascii="Times New Roman" w:hAnsi="Times New Roman" w:cs="Times New Roma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 w14:anchorId="086CE5DC" id="_x0000_s1028" type="#_x0000_t202" style="position:absolute;left:0;text-align:left;margin-left:.9pt;margin-top:19.65pt;width:448.9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" stroked="f">
                <v:textbox style="mso-fit-shape-to-text:t" inset="0,0,0,0">
                  <w:txbxContent>
                    <w:p w14:paraId="140FEC09" w14:textId="3599B477" w:rsidR="006D623F" w:rsidRPr="009D7EC2" w:rsidRDefault="006D623F" w:rsidP="006D623F">
                      <w:pPr>
                        <w:pStyle w:val="Caption"/>
                        <w:spacing w:after="0"/>
                        <w:jc w:val="center"/>
                        <w:rPr>
                          <w:rFonts w:ascii="Times New Roman" w:hAnsi="Times New Roman" w:cs="Times New Roman"/>
                          <w:i w:val="0"/>
                          <w:iCs w:val="0"/>
                          <w:color w:val="000000" w:themeColor="text1"/>
                          <w:sz w:val="22"/>
                          <w:szCs w:val="22"/>
                        </w:rPr>
                      </w:pPr>
                      <w:r w:rsidRPr="009D7EC2">
                        <w:rPr>
                          <w:rFonts w:ascii="Times New Roman" w:hAnsi="Times New Roman" w:cs="Times New Roman"/>
                          <w:i w:val="0"/>
                          <w:iCs w:val="0"/>
                          <w:color w:val="000000" w:themeColor="text1"/>
                          <w:sz w:val="22"/>
                          <w:szCs w:val="22"/>
                        </w:rPr>
                        <w:t xml:space="preserve">Gambar  </w:t>
                      </w:r>
                      <w:r w:rsidRPr="009D7EC2">
                        <w:rPr>
                          <w:rFonts w:ascii="Times New Roman" w:hAnsi="Times New Roman" w:cs="Times New Roman"/>
                          <w:i w:val="0"/>
                          <w:iCs w:val="0"/>
                          <w:color w:val="000000" w:themeColor="text1"/>
                          <w:sz w:val="22"/>
                          <w:szCs w:val="22"/>
                        </w:rPr>
                        <w:fldChar w:fldCharType="begin"/>
                      </w:r>
                      <w:r w:rsidRPr="009D7EC2">
                        <w:rPr>
                          <w:rFonts w:ascii="Times New Roman" w:hAnsi="Times New Roman" w:cs="Times New Roman"/>
                          <w:i w:val="0"/>
                          <w:iCs w:val="0"/>
                          <w:color w:val="000000" w:themeColor="text1"/>
                          <w:sz w:val="22"/>
                          <w:szCs w:val="22"/>
                        </w:rPr>
                        <w:instrText xml:space="preserve"> SEQ Gambar_ \* ARABIC </w:instrText>
                      </w:r>
                      <w:r w:rsidRPr="009D7EC2">
                        <w:rPr>
                          <w:rFonts w:ascii="Times New Roman" w:hAnsi="Times New Roman" w:cs="Times New Roman"/>
                          <w:i w:val="0"/>
                          <w:iCs w:val="0"/>
                          <w:color w:val="000000" w:themeColor="text1"/>
                          <w:sz w:val="22"/>
                          <w:szCs w:val="22"/>
                        </w:rPr>
                        <w:fldChar w:fldCharType="separate"/>
                      </w:r>
                      <w:r w:rsidR="00940D99">
                        <w:rPr>
                          <w:rFonts w:ascii="Times New Roman" w:hAnsi="Times New Roman" w:cs="Times New Roman"/>
                          <w:i w:val="0"/>
                          <w:iCs w:val="0"/>
                          <w:noProof/>
                          <w:color w:val="000000" w:themeColor="text1"/>
                          <w:sz w:val="22"/>
                          <w:szCs w:val="22"/>
                        </w:rPr>
                        <w:t>3</w:t>
                      </w:r>
                      <w:r w:rsidRPr="009D7EC2">
                        <w:rPr>
                          <w:rFonts w:ascii="Times New Roman" w:hAnsi="Times New Roman" w:cs="Times New Roman"/>
                          <w:i w:val="0"/>
                          <w:iCs w:val="0"/>
                          <w:color w:val="000000" w:themeColor="text1"/>
                          <w:sz w:val="22"/>
                          <w:szCs w:val="22"/>
                        </w:rPr>
                        <w:fldChar w:fldCharType="end"/>
                      </w:r>
                      <w:r w:rsidRPr="009D7EC2">
                        <w:rPr>
                          <w:rFonts w:ascii="Times New Roman" w:hAnsi="Times New Roman" w:cs="Times New Roman"/>
                          <w:i w:val="0"/>
                          <w:iCs w:val="0"/>
                          <w:color w:val="000000" w:themeColor="text1"/>
                          <w:sz w:val="22"/>
                          <w:szCs w:val="22"/>
                        </w:rPr>
                        <w:t xml:space="preserve">. Nilai Rata – Rata </w:t>
                      </w:r>
                      <w:proofErr w:type="spellStart"/>
                      <w:r w:rsidRPr="009D7EC2">
                        <w:rPr>
                          <w:rFonts w:ascii="Times New Roman" w:hAnsi="Times New Roman" w:cs="Times New Roman"/>
                          <w:i w:val="0"/>
                          <w:iCs w:val="0"/>
                          <w:color w:val="000000" w:themeColor="text1"/>
                          <w:sz w:val="22"/>
                          <w:szCs w:val="22"/>
                        </w:rPr>
                        <w:t>Pembiayaan</w:t>
                      </w:r>
                      <w:proofErr w:type="spellEnd"/>
                      <w:r w:rsidRPr="009D7EC2">
                        <w:rPr>
                          <w:rFonts w:ascii="Times New Roman" w:hAnsi="Times New Roman" w:cs="Times New Roman"/>
                          <w:i w:val="0"/>
                          <w:iCs w:val="0"/>
                          <w:color w:val="000000" w:themeColor="text1"/>
                          <w:sz w:val="22"/>
                          <w:szCs w:val="22"/>
                        </w:rPr>
                        <w:t xml:space="preserve"> </w:t>
                      </w:r>
                      <w:proofErr w:type="spellStart"/>
                      <w:r w:rsidRPr="00807BEE">
                        <w:rPr>
                          <w:rFonts w:ascii="Times New Roman" w:hAnsi="Times New Roman" w:cs="Times New Roman"/>
                          <w:color w:val="000000" w:themeColor="text1"/>
                          <w:sz w:val="22"/>
                          <w:szCs w:val="22"/>
                        </w:rPr>
                        <w:t>Mu</w:t>
                      </w:r>
                      <w:r>
                        <w:rPr>
                          <w:rFonts w:ascii="Times New Roman" w:hAnsi="Times New Roman" w:cs="Times New Roman"/>
                          <w:color w:val="000000" w:themeColor="text1"/>
                          <w:sz w:val="22"/>
                          <w:szCs w:val="22"/>
                        </w:rPr>
                        <w:t>syarakah</w:t>
                      </w:r>
                      <w:proofErr w:type="spellEnd"/>
                      <w:r w:rsidRPr="009D7EC2">
                        <w:rPr>
                          <w:rFonts w:ascii="Times New Roman" w:hAnsi="Times New Roman" w:cs="Times New Roman"/>
                          <w:i w:val="0"/>
                          <w:iCs w:val="0"/>
                          <w:color w:val="000000" w:themeColor="text1"/>
                          <w:sz w:val="22"/>
                          <w:szCs w:val="22"/>
                        </w:rPr>
                        <w:t xml:space="preserve"> 20</w:t>
                      </w:r>
                      <w:r>
                        <w:rPr>
                          <w:rFonts w:ascii="Times New Roman" w:hAnsi="Times New Roman" w:cs="Times New Roman"/>
                          <w:i w:val="0"/>
                          <w:iCs w:val="0"/>
                          <w:color w:val="000000" w:themeColor="text1"/>
                          <w:sz w:val="22"/>
                          <w:szCs w:val="22"/>
                        </w:rPr>
                        <w:t>17</w:t>
                      </w:r>
                      <w:r w:rsidRPr="009D7EC2">
                        <w:rPr>
                          <w:rFonts w:ascii="Times New Roman" w:hAnsi="Times New Roman" w:cs="Times New Roman"/>
                          <w:i w:val="0"/>
                          <w:iCs w:val="0"/>
                          <w:color w:val="000000" w:themeColor="text1"/>
                          <w:sz w:val="22"/>
                          <w:szCs w:val="22"/>
                        </w:rPr>
                        <w:t xml:space="preserve"> – 202</w:t>
                      </w:r>
                      <w:r w:rsidR="00A77ADA">
                        <w:rPr>
                          <w:rFonts w:ascii="Times New Roman" w:hAnsi="Times New Roman" w:cs="Times New Roman"/>
                          <w:i w:val="0"/>
                          <w:iCs w:val="0"/>
                          <w:color w:val="000000" w:themeColor="text1"/>
                          <w:sz w:val="22"/>
                          <w:szCs w:val="22"/>
                        </w:rPr>
                        <w:t>2</w:t>
                      </w:r>
                    </w:p>
                    <w:p w14:paraId="41DED6FB" w14:textId="1ED2BE6D" w:rsidR="006D623F" w:rsidRPr="009D7EC2" w:rsidRDefault="006D623F" w:rsidP="006D623F">
                      <w:pPr>
                        <w:spacing w:after="0" w:line="240" w:lineRule="auto"/>
                        <w:jc w:val="center"/>
                        <w:rPr>
                          <w:rFonts w:ascii="Times New Roman" w:hAnsi="Times New Roman" w:cs="Times New Roman"/>
                        </w:rPr>
                      </w:pPr>
                      <w:r>
                        <w:rPr>
                          <w:rFonts w:ascii="Times New Roman" w:hAnsi="Times New Roman" w:cs="Times New Roman"/>
                        </w:rPr>
                        <w:t>(</w:t>
                      </w:r>
                      <w:proofErr w:type="spellStart"/>
                      <w:r w:rsidRPr="009D7EC2">
                        <w:rPr>
                          <w:rFonts w:ascii="Times New Roman" w:hAnsi="Times New Roman" w:cs="Times New Roman"/>
                        </w:rPr>
                        <w:t>Sumber</w:t>
                      </w:r>
                      <w:proofErr w:type="spellEnd"/>
                      <w:r w:rsidRPr="009D7EC2">
                        <w:rPr>
                          <w:rFonts w:ascii="Times New Roman" w:hAnsi="Times New Roman" w:cs="Times New Roman"/>
                        </w:rPr>
                        <w:t xml:space="preserve">: </w:t>
                      </w:r>
                      <w:proofErr w:type="spellStart"/>
                      <w:r w:rsidRPr="009D7EC2">
                        <w:rPr>
                          <w:rFonts w:ascii="Times New Roman" w:hAnsi="Times New Roman" w:cs="Times New Roman"/>
                        </w:rPr>
                        <w:t>Laporan</w:t>
                      </w:r>
                      <w:proofErr w:type="spellEnd"/>
                      <w:r w:rsidRPr="009D7EC2">
                        <w:rPr>
                          <w:rFonts w:ascii="Times New Roman" w:hAnsi="Times New Roman" w:cs="Times New Roman"/>
                        </w:rPr>
                        <w:t xml:space="preserve"> </w:t>
                      </w:r>
                      <w:proofErr w:type="spellStart"/>
                      <w:r w:rsidRPr="009D7EC2">
                        <w:rPr>
                          <w:rFonts w:ascii="Times New Roman" w:hAnsi="Times New Roman" w:cs="Times New Roman"/>
                        </w:rPr>
                        <w:t>Statistik</w:t>
                      </w:r>
                      <w:proofErr w:type="spellEnd"/>
                      <w:r w:rsidRPr="009D7EC2">
                        <w:rPr>
                          <w:rFonts w:ascii="Times New Roman" w:hAnsi="Times New Roman" w:cs="Times New Roman"/>
                        </w:rPr>
                        <w:t xml:space="preserve"> </w:t>
                      </w:r>
                      <w:proofErr w:type="spellStart"/>
                      <w:r w:rsidRPr="009D7EC2">
                        <w:rPr>
                          <w:rFonts w:ascii="Times New Roman" w:hAnsi="Times New Roman" w:cs="Times New Roman"/>
                        </w:rPr>
                        <w:t>Perbankan</w:t>
                      </w:r>
                      <w:proofErr w:type="spellEnd"/>
                      <w:r w:rsidRPr="009D7EC2">
                        <w:rPr>
                          <w:rFonts w:ascii="Times New Roman" w:hAnsi="Times New Roman" w:cs="Times New Roman"/>
                        </w:rPr>
                        <w:t xml:space="preserve"> Syariah OJK </w:t>
                      </w:r>
                      <w:r>
                        <w:rPr>
                          <w:rFonts w:ascii="Times New Roman" w:hAnsi="Times New Roman" w:cs="Times New Roman"/>
                        </w:rPr>
                        <w:t xml:space="preserve">2017 - </w:t>
                      </w:r>
                      <w:r w:rsidRPr="009D7EC2">
                        <w:rPr>
                          <w:rFonts w:ascii="Times New Roman" w:hAnsi="Times New Roman" w:cs="Times New Roman"/>
                        </w:rPr>
                        <w:t>202</w:t>
                      </w:r>
                      <w:r w:rsidR="00A77ADA">
                        <w:rPr>
                          <w:rFonts w:ascii="Times New Roman" w:hAnsi="Times New Roman" w:cs="Times New Roman"/>
                        </w:rPr>
                        <w:t>2</w:t>
                      </w:r>
                      <w:r>
                        <w:rPr>
                          <w:rFonts w:ascii="Times New Roman" w:hAnsi="Times New Roman" w:cs="Times New Roman"/>
                        </w:rPr>
                        <w:t>)</w:t>
                      </w:r>
                    </w:p>
                  </w:txbxContent>
                </v:textbox>
              </v:shape>
            </w:pict>
          </mc:Fallback>
        </mc:AlternateContent>
      </w:r>
    </w:p>
    <w:p w14:paraId="04459E21" w14:textId="039D8260" w:rsidR="006D623F" w:rsidRPr="00B14ED8" w:rsidRDefault="006D623F" w:rsidP="00B14ED8">
      <w:pPr>
        <w:spacing w:after="0" w:line="360" w:lineRule="auto"/>
        <w:ind w:firstLine="567"/>
        <w:jc w:val="both"/>
        <w:rPr>
          <w:rFonts w:ascii="Times New Roman" w:eastAsia="Times New Roman" w:hAnsi="Times New Roman" w:cs="Times New Roman"/>
          <w:sz w:val="24"/>
          <w:szCs w:val="24"/>
        </w:rPr>
      </w:pPr>
    </w:p>
    <w:p w14:paraId="0EA6876F" w14:textId="77777777" w:rsidR="006D623F" w:rsidRPr="00B14ED8" w:rsidRDefault="006D623F" w:rsidP="00B14ED8">
      <w:pPr>
        <w:spacing w:after="0" w:line="360" w:lineRule="auto"/>
        <w:jc w:val="both"/>
        <w:rPr>
          <w:rFonts w:ascii="Times New Roman" w:eastAsia="Times New Roman" w:hAnsi="Times New Roman" w:cs="Times New Roman"/>
          <w:sz w:val="24"/>
          <w:szCs w:val="24"/>
        </w:rPr>
      </w:pPr>
    </w:p>
    <w:p w14:paraId="58F5FA3A" w14:textId="1F6746E1" w:rsidR="00E57B0D" w:rsidRPr="00B14ED8" w:rsidRDefault="00400A43" w:rsidP="00B14ED8">
      <w:pPr>
        <w:spacing w:after="0" w:line="360" w:lineRule="auto"/>
        <w:ind w:firstLine="567"/>
        <w:jc w:val="both"/>
        <w:rPr>
          <w:rFonts w:ascii="Times New Roman" w:eastAsia="Times New Roman" w:hAnsi="Times New Roman" w:cs="Times New Roman"/>
          <w:sz w:val="24"/>
          <w:szCs w:val="24"/>
        </w:rPr>
      </w:pPr>
      <w:r w:rsidRPr="00B14ED8">
        <w:rPr>
          <w:rFonts w:ascii="Times New Roman" w:eastAsia="Times New Roman" w:hAnsi="Times New Roman" w:cs="Times New Roman"/>
          <w:sz w:val="24"/>
          <w:szCs w:val="24"/>
        </w:rPr>
        <w:t xml:space="preserve">Dari data yang </w:t>
      </w:r>
      <w:proofErr w:type="spellStart"/>
      <w:r w:rsidRPr="00B14ED8">
        <w:rPr>
          <w:rFonts w:ascii="Times New Roman" w:eastAsia="Times New Roman" w:hAnsi="Times New Roman" w:cs="Times New Roman"/>
          <w:sz w:val="24"/>
          <w:szCs w:val="24"/>
        </w:rPr>
        <w:t>dijabarkan</w:t>
      </w:r>
      <w:proofErr w:type="spellEnd"/>
      <w:r w:rsidRPr="00B14ED8">
        <w:rPr>
          <w:rFonts w:ascii="Times New Roman" w:eastAsia="Times New Roman" w:hAnsi="Times New Roman" w:cs="Times New Roman"/>
          <w:sz w:val="24"/>
          <w:szCs w:val="24"/>
        </w:rPr>
        <w:t xml:space="preserve"> pada </w:t>
      </w:r>
      <w:proofErr w:type="spellStart"/>
      <w:r w:rsidRPr="00B14ED8">
        <w:rPr>
          <w:rFonts w:ascii="Times New Roman" w:eastAsia="Times New Roman" w:hAnsi="Times New Roman" w:cs="Times New Roman"/>
          <w:sz w:val="24"/>
          <w:szCs w:val="24"/>
        </w:rPr>
        <w:t>grafik</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nilai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kinerja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keuangan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perbankan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syariah</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tersebut</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dapat</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disimpulkan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bahwa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nilai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kinerja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keuangan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perbankan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syariah</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tahun</w:t>
      </w:r>
      <w:proofErr w:type="spellEnd"/>
      <w:r w:rsidRPr="00B14ED8">
        <w:rPr>
          <w:rFonts w:ascii="Times New Roman" w:eastAsia="Times New Roman" w:hAnsi="Times New Roman" w:cs="Times New Roman"/>
          <w:sz w:val="24"/>
          <w:szCs w:val="24"/>
        </w:rPr>
        <w:t xml:space="preserve"> 2017 </w:t>
      </w:r>
      <w:proofErr w:type="spellStart"/>
      <w:r w:rsidRPr="00B14ED8">
        <w:rPr>
          <w:rFonts w:ascii="Times New Roman" w:eastAsia="Times New Roman" w:hAnsi="Times New Roman" w:cs="Times New Roman"/>
          <w:sz w:val="24"/>
          <w:szCs w:val="24"/>
        </w:rPr>
        <w:t>hingga</w:t>
      </w:r>
      <w:proofErr w:type="spellEnd"/>
      <w:r w:rsidRPr="00B14ED8">
        <w:rPr>
          <w:rFonts w:ascii="Times New Roman" w:eastAsia="Times New Roman" w:hAnsi="Times New Roman" w:cs="Times New Roman"/>
          <w:sz w:val="24"/>
          <w:szCs w:val="24"/>
        </w:rPr>
        <w:t xml:space="preserve"> 202</w:t>
      </w:r>
      <w:r w:rsidR="001F4D56" w:rsidRPr="00B14ED8">
        <w:rPr>
          <w:rFonts w:ascii="Times New Roman" w:eastAsia="Times New Roman" w:hAnsi="Times New Roman" w:cs="Times New Roman"/>
          <w:sz w:val="24"/>
          <w:szCs w:val="24"/>
        </w:rPr>
        <w:t>2</w:t>
      </w:r>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berfluktuasi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d</w:t>
      </w:r>
      <w:r w:rsidR="0011344A" w:rsidRPr="00B14ED8">
        <w:rPr>
          <w:rFonts w:ascii="Times New Roman" w:eastAsia="Times New Roman" w:hAnsi="Times New Roman" w:cs="Times New Roman"/>
          <w:sz w:val="24"/>
          <w:szCs w:val="24"/>
        </w:rPr>
        <w:t>engan</w:t>
      </w:r>
      <w:proofErr w:type="spellEnd"/>
      <w:r w:rsidR="0011344A" w:rsidRPr="00B14ED8">
        <w:rPr>
          <w:rFonts w:ascii="Times New Roman" w:eastAsia="Times New Roman" w:hAnsi="Times New Roman" w:cs="Times New Roman"/>
          <w:sz w:val="24"/>
          <w:szCs w:val="24"/>
        </w:rPr>
        <w:t xml:space="preserve"> </w:t>
      </w:r>
      <w:proofErr w:type="spellStart"/>
      <w:r w:rsidR="0011344A" w:rsidRPr="00B14ED8">
        <w:rPr>
          <w:rFonts w:ascii="Times New Roman" w:eastAsia="Times New Roman" w:hAnsi="Times New Roman" w:cs="Times New Roman"/>
          <w:sz w:val="24"/>
          <w:szCs w:val="24"/>
        </w:rPr>
        <w:t>nilai</w:t>
      </w:r>
      <w:proofErr w:type="spellEnd"/>
      <w:r w:rsidR="0011344A" w:rsidRPr="00B14ED8">
        <w:rPr>
          <w:rFonts w:ascii="Times New Roman" w:eastAsia="Times New Roman" w:hAnsi="Times New Roman" w:cs="Times New Roman"/>
          <w:sz w:val="24"/>
          <w:szCs w:val="24"/>
        </w:rPr>
        <w:t xml:space="preserve"> ROA </w:t>
      </w:r>
      <w:proofErr w:type="spellStart"/>
      <w:r w:rsidR="0011344A" w:rsidRPr="00B14ED8">
        <w:rPr>
          <w:rFonts w:ascii="Times New Roman" w:eastAsia="Times New Roman" w:hAnsi="Times New Roman" w:cs="Times New Roman"/>
          <w:sz w:val="24"/>
          <w:szCs w:val="24"/>
        </w:rPr>
        <w:t>tertinggi</w:t>
      </w:r>
      <w:proofErr w:type="spellEnd"/>
      <w:r w:rsidR="0011344A" w:rsidRPr="00B14ED8">
        <w:rPr>
          <w:rFonts w:ascii="Times New Roman" w:eastAsia="Times New Roman" w:hAnsi="Times New Roman" w:cs="Times New Roman"/>
          <w:sz w:val="24"/>
          <w:szCs w:val="24"/>
        </w:rPr>
        <w:t xml:space="preserve"> di </w:t>
      </w:r>
      <w:proofErr w:type="spellStart"/>
      <w:r w:rsidR="0011344A" w:rsidRPr="00B14ED8">
        <w:rPr>
          <w:rFonts w:ascii="Times New Roman" w:eastAsia="Times New Roman" w:hAnsi="Times New Roman" w:cs="Times New Roman"/>
          <w:sz w:val="24"/>
          <w:szCs w:val="24"/>
        </w:rPr>
        <w:t>tahun</w:t>
      </w:r>
      <w:proofErr w:type="spellEnd"/>
      <w:r w:rsidR="0011344A" w:rsidRPr="00B14ED8">
        <w:rPr>
          <w:rFonts w:ascii="Times New Roman" w:eastAsia="Times New Roman" w:hAnsi="Times New Roman" w:cs="Times New Roman"/>
          <w:sz w:val="24"/>
          <w:szCs w:val="24"/>
        </w:rPr>
        <w:t xml:space="preserve"> 2017 </w:t>
      </w:r>
      <w:proofErr w:type="spellStart"/>
      <w:r w:rsidR="0011344A" w:rsidRPr="00B14ED8">
        <w:rPr>
          <w:rFonts w:ascii="Times New Roman" w:eastAsia="Times New Roman" w:hAnsi="Times New Roman" w:cs="Times New Roman"/>
          <w:sz w:val="24"/>
          <w:szCs w:val="24"/>
        </w:rPr>
        <w:t>sebesar</w:t>
      </w:r>
      <w:proofErr w:type="spellEnd"/>
      <w:r w:rsidR="0011344A" w:rsidRPr="00B14ED8">
        <w:rPr>
          <w:rFonts w:ascii="Times New Roman" w:eastAsia="Times New Roman" w:hAnsi="Times New Roman" w:cs="Times New Roman"/>
          <w:sz w:val="24"/>
          <w:szCs w:val="24"/>
        </w:rPr>
        <w:t xml:space="preserve"> 2,47 % dan </w:t>
      </w:r>
      <w:proofErr w:type="spellStart"/>
      <w:r w:rsidR="004C5DFF" w:rsidRPr="00B14ED8">
        <w:rPr>
          <w:rFonts w:ascii="Times New Roman" w:eastAsia="Times New Roman" w:hAnsi="Times New Roman" w:cs="Times New Roman"/>
          <w:sz w:val="24"/>
          <w:szCs w:val="24"/>
        </w:rPr>
        <w:t>terendah</w:t>
      </w:r>
      <w:proofErr w:type="spellEnd"/>
      <w:r w:rsidR="004C5DFF" w:rsidRPr="00B14ED8">
        <w:rPr>
          <w:rFonts w:ascii="Times New Roman" w:eastAsia="Times New Roman" w:hAnsi="Times New Roman" w:cs="Times New Roman"/>
          <w:sz w:val="24"/>
          <w:szCs w:val="24"/>
        </w:rPr>
        <w:t xml:space="preserve"> di </w:t>
      </w:r>
      <w:proofErr w:type="spellStart"/>
      <w:r w:rsidR="004C5DFF" w:rsidRPr="00B14ED8">
        <w:rPr>
          <w:rFonts w:ascii="Times New Roman" w:eastAsia="Times New Roman" w:hAnsi="Times New Roman" w:cs="Times New Roman"/>
          <w:sz w:val="24"/>
          <w:szCs w:val="24"/>
        </w:rPr>
        <w:t>tahun</w:t>
      </w:r>
      <w:proofErr w:type="spellEnd"/>
      <w:r w:rsidR="004C5DFF" w:rsidRPr="00B14ED8">
        <w:rPr>
          <w:rFonts w:ascii="Times New Roman" w:eastAsia="Times New Roman" w:hAnsi="Times New Roman" w:cs="Times New Roman"/>
          <w:sz w:val="24"/>
          <w:szCs w:val="24"/>
        </w:rPr>
        <w:t xml:space="preserve"> 2018 </w:t>
      </w:r>
      <w:proofErr w:type="spellStart"/>
      <w:r w:rsidR="004C5DFF" w:rsidRPr="00B14ED8">
        <w:rPr>
          <w:rFonts w:ascii="Times New Roman" w:eastAsia="Times New Roman" w:hAnsi="Times New Roman" w:cs="Times New Roman"/>
          <w:sz w:val="24"/>
          <w:szCs w:val="24"/>
        </w:rPr>
        <w:t>sebesar</w:t>
      </w:r>
      <w:proofErr w:type="spellEnd"/>
      <w:r w:rsidR="004C5DFF" w:rsidRPr="00B14ED8">
        <w:rPr>
          <w:rFonts w:ascii="Times New Roman" w:eastAsia="Times New Roman" w:hAnsi="Times New Roman" w:cs="Times New Roman"/>
          <w:sz w:val="24"/>
          <w:szCs w:val="24"/>
        </w:rPr>
        <w:t xml:space="preserve"> 1,18 %.</w:t>
      </w:r>
      <w:r w:rsidR="00C12A66" w:rsidRPr="00B14ED8">
        <w:rPr>
          <w:rFonts w:ascii="Times New Roman" w:eastAsia="Times New Roman" w:hAnsi="Times New Roman" w:cs="Times New Roman"/>
          <w:sz w:val="24"/>
          <w:szCs w:val="24"/>
        </w:rPr>
        <w:t xml:space="preserve"> </w:t>
      </w:r>
      <w:proofErr w:type="spellStart"/>
      <w:r w:rsidR="00E57B0D" w:rsidRPr="00B14ED8">
        <w:rPr>
          <w:rFonts w:ascii="Times New Roman" w:eastAsia="Times New Roman" w:hAnsi="Times New Roman" w:cs="Times New Roman"/>
          <w:sz w:val="24"/>
          <w:szCs w:val="24"/>
        </w:rPr>
        <w:t>Kemudian</w:t>
      </w:r>
      <w:proofErr w:type="spellEnd"/>
      <w:r w:rsidR="00E57B0D" w:rsidRPr="00B14ED8">
        <w:rPr>
          <w:rFonts w:ascii="Times New Roman" w:eastAsia="Times New Roman" w:hAnsi="Times New Roman" w:cs="Times New Roman"/>
          <w:sz w:val="24"/>
          <w:szCs w:val="24"/>
        </w:rPr>
        <w:t xml:space="preserve"> </w:t>
      </w:r>
      <w:proofErr w:type="spellStart"/>
      <w:r w:rsidR="0054616C" w:rsidRPr="00B14ED8">
        <w:rPr>
          <w:rFonts w:ascii="Times New Roman" w:eastAsia="Times New Roman" w:hAnsi="Times New Roman" w:cs="Times New Roman"/>
          <w:sz w:val="24"/>
          <w:szCs w:val="24"/>
        </w:rPr>
        <w:t>terkait</w:t>
      </w:r>
      <w:proofErr w:type="spellEnd"/>
      <w:r w:rsidR="0054616C" w:rsidRPr="00B14ED8">
        <w:rPr>
          <w:rFonts w:ascii="Times New Roman" w:eastAsia="Times New Roman" w:hAnsi="Times New Roman" w:cs="Times New Roman"/>
          <w:sz w:val="24"/>
          <w:szCs w:val="24"/>
        </w:rPr>
        <w:t xml:space="preserve"> </w:t>
      </w:r>
      <w:proofErr w:type="spellStart"/>
      <w:r w:rsidR="005079A4" w:rsidRPr="00B14ED8">
        <w:rPr>
          <w:rFonts w:ascii="Times New Roman" w:eastAsia="Times New Roman" w:hAnsi="Times New Roman" w:cs="Times New Roman"/>
          <w:sz w:val="24"/>
          <w:szCs w:val="24"/>
        </w:rPr>
        <w:t>dari</w:t>
      </w:r>
      <w:proofErr w:type="spellEnd"/>
      <w:r w:rsidR="005079A4" w:rsidRPr="00B14ED8">
        <w:rPr>
          <w:rFonts w:ascii="Times New Roman" w:eastAsia="Times New Roman" w:hAnsi="Times New Roman" w:cs="Times New Roman"/>
          <w:sz w:val="24"/>
          <w:szCs w:val="24"/>
        </w:rPr>
        <w:t xml:space="preserve"> </w:t>
      </w:r>
      <w:proofErr w:type="spellStart"/>
      <w:r w:rsidR="00E57B0D" w:rsidRPr="00B14ED8">
        <w:rPr>
          <w:rFonts w:ascii="Times New Roman" w:eastAsia="Times New Roman" w:hAnsi="Times New Roman" w:cs="Times New Roman"/>
          <w:sz w:val="24"/>
          <w:szCs w:val="24"/>
        </w:rPr>
        <w:t>hasil</w:t>
      </w:r>
      <w:proofErr w:type="spellEnd"/>
      <w:r w:rsidR="00E57B0D" w:rsidRPr="00B14ED8">
        <w:rPr>
          <w:rFonts w:ascii="Times New Roman" w:eastAsia="Times New Roman" w:hAnsi="Times New Roman" w:cs="Times New Roman"/>
          <w:sz w:val="24"/>
          <w:szCs w:val="24"/>
        </w:rPr>
        <w:t xml:space="preserve"> </w:t>
      </w:r>
      <w:proofErr w:type="spellStart"/>
      <w:r w:rsidR="00E57B0D" w:rsidRPr="00B14ED8">
        <w:rPr>
          <w:rFonts w:ascii="Times New Roman" w:eastAsia="Times New Roman" w:hAnsi="Times New Roman" w:cs="Times New Roman"/>
          <w:sz w:val="24"/>
          <w:szCs w:val="24"/>
        </w:rPr>
        <w:t>analisis</w:t>
      </w:r>
      <w:proofErr w:type="spellEnd"/>
      <w:r w:rsidR="00E57B0D" w:rsidRPr="00B14ED8">
        <w:rPr>
          <w:rFonts w:ascii="Times New Roman" w:eastAsia="Times New Roman" w:hAnsi="Times New Roman" w:cs="Times New Roman"/>
          <w:sz w:val="24"/>
          <w:szCs w:val="24"/>
        </w:rPr>
        <w:t xml:space="preserve"> </w:t>
      </w:r>
      <w:proofErr w:type="spellStart"/>
      <w:r w:rsidR="00E57B0D" w:rsidRPr="00B14ED8">
        <w:rPr>
          <w:rFonts w:ascii="Times New Roman" w:eastAsia="Times New Roman" w:hAnsi="Times New Roman" w:cs="Times New Roman"/>
          <w:sz w:val="24"/>
          <w:szCs w:val="24"/>
        </w:rPr>
        <w:t>penelitian</w:t>
      </w:r>
      <w:proofErr w:type="spellEnd"/>
      <w:r w:rsidR="00E57B0D" w:rsidRPr="00B14ED8">
        <w:rPr>
          <w:rFonts w:ascii="Times New Roman" w:eastAsia="Times New Roman" w:hAnsi="Times New Roman" w:cs="Times New Roman"/>
          <w:sz w:val="24"/>
          <w:szCs w:val="24"/>
        </w:rPr>
        <w:t xml:space="preserve"> </w:t>
      </w:r>
      <w:proofErr w:type="spellStart"/>
      <w:r w:rsidR="00E57B0D" w:rsidRPr="00B14ED8">
        <w:rPr>
          <w:rFonts w:ascii="Times New Roman" w:eastAsia="Times New Roman" w:hAnsi="Times New Roman" w:cs="Times New Roman"/>
          <w:sz w:val="24"/>
          <w:szCs w:val="24"/>
        </w:rPr>
        <w:t>terdahulu</w:t>
      </w:r>
      <w:proofErr w:type="spellEnd"/>
      <w:r w:rsidR="00E20E95" w:rsidRPr="00B14ED8">
        <w:rPr>
          <w:rFonts w:ascii="Times New Roman" w:eastAsia="Times New Roman" w:hAnsi="Times New Roman" w:cs="Times New Roman"/>
          <w:sz w:val="24"/>
          <w:szCs w:val="24"/>
        </w:rPr>
        <w:t xml:space="preserve">, </w:t>
      </w:r>
      <w:proofErr w:type="spellStart"/>
      <w:r w:rsidR="00E20E95" w:rsidRPr="00B14ED8">
        <w:rPr>
          <w:rFonts w:ascii="Times New Roman" w:eastAsia="Times New Roman" w:hAnsi="Times New Roman" w:cs="Times New Roman"/>
          <w:sz w:val="24"/>
          <w:szCs w:val="24"/>
        </w:rPr>
        <w:t>studi</w:t>
      </w:r>
      <w:proofErr w:type="spellEnd"/>
      <w:r w:rsidR="00E20E95" w:rsidRPr="00B14ED8">
        <w:rPr>
          <w:rFonts w:ascii="Times New Roman" w:eastAsia="Times New Roman" w:hAnsi="Times New Roman" w:cs="Times New Roman"/>
          <w:sz w:val="24"/>
          <w:szCs w:val="24"/>
        </w:rPr>
        <w:t xml:space="preserve"> </w:t>
      </w:r>
      <w:r w:rsidR="00E57B0D" w:rsidRPr="00B14ED8">
        <w:rPr>
          <w:rFonts w:ascii="Times New Roman" w:eastAsia="Times New Roman" w:hAnsi="Times New Roman" w:cs="Times New Roman"/>
          <w:sz w:val="24"/>
          <w:szCs w:val="24"/>
        </w:rPr>
        <w:t xml:space="preserve">oleh </w:t>
      </w:r>
      <w:r w:rsidR="00E57B0D" w:rsidRPr="00B14ED8">
        <w:rPr>
          <w:rFonts w:ascii="Times New Roman" w:eastAsia="Times New Roman" w:hAnsi="Times New Roman" w:cs="Times New Roman"/>
          <w:sz w:val="24"/>
          <w:szCs w:val="24"/>
        </w:rPr>
        <w:fldChar w:fldCharType="begin" w:fldLock="1"/>
      </w:r>
      <w:r w:rsidR="00FA7CA5" w:rsidRPr="00B14ED8">
        <w:rPr>
          <w:rFonts w:ascii="Times New Roman" w:eastAsia="Times New Roman" w:hAnsi="Times New Roman" w:cs="Times New Roman"/>
          <w:sz w:val="24"/>
          <w:szCs w:val="24"/>
        </w:rPr>
        <w:instrText>ADDIN CSL_CITATION {"citationItems":[{"id":"ITEM-1","itemData":{"DOI":"10.31538/iijse.v5i1.1969","abstract":"The study aims to determine the effect of Mudharabah and Musyarakah financing on profitability of Islamic banks in Indonesia. Profitability is measured by using ROA. The population used in this study is Islamic banks registered in Bank Indonesia from 2016 to 2020, and by using purposive sampling technique. The researchers obtained 8 Islamic banks that meet the criteria. The study uses MRA (Multivariate Regression Analysis) with the following results: the Mudharabah variable has a tcount = 5.812 and a ttable = 2.026 (tcount &gt; ttable) with a significance level of 0.000001 &lt; 0.05. Thus, H1 is accepted, Mudharabah has a significant positive effect on profitability of Islamic bank. The Musyarakah variable has a tcount = -3.120 and a ttable = 2.026 (tcount &gt; ttable) with a significance level of 0.003498 &lt; 0.05. Therefore, H2 is accepted, Musyarakah has a significant negative effect on profitability of Islamic banks.","author":[{"dropping-particle":"","family":"El","given":"Iqbal Maulana","non-dropping-particle":"","parse-names":false,"suffix":""},{"dropping-particle":"","family":"Masyhuri","given":"Masyhuri","non-dropping-particle":"","parse-names":false,"suffix":""},{"dropping-particle":"","family":"Yuliana","given":"Indah","non-dropping-particle":"","parse-names":false,"suffix":""}],"container-title":"Indonesian Interdisciplinary Journal of Sharia Economics (IIJSE)","id":"ITEM-1","issue":"1","issued":{"date-parts":[["2022"]]},"page":"225-234","title":"The Effect of Mudharabah and Musyarakah Financing on Profitability of Islamic Banks in Indonesia","type":"article-journal","volume":"5"},"uris":["http://www.mendeley.com/documents/?uuid=179b3d4c-5623-480e-8e76-b2e05d99bfdc"]},{"id":"ITEM-2","itemData":{"DOI":"10.20525/ijfbs.v10i3.1329","abstract":"This research was conducted to determine the effect of mudharabah and musharakah financing on net profit of Islamic commercial banks in Indonesia. This study uses the annual financial statements of Islamic commercial banks obtained from the Financial Services Authority and annual reports on the website of Islamic commercial banks for the period 2010-2019. The test results found that mudharabah financing had a significant effect on the net profit of Islamic banks, this also strengthened Islamic social responsibility of Islamic commercial banks. But unlike mudharabah financing, musharakah financing actually has a negative effect on the net profit of Islamic commercial banks, which means that the higher the Islamic bank distributes musharakah financing, the rate of profit will decrease which results in the weakening of Islamic social responsibility disclosure. It is recommended that Islamic banks exercise greater caution when selecting consumers for mudharabah financing, as this type of financing carries a higher risk but also a higher profit share if the financing is successful. This research has a limitation in that it focuses exclusively on Islamic commercial banks in Indonesia, although additional research might be conducted by sampling Sharia Business Unit and Sharia Rural Bank.","author":[{"dropping-particle":"","family":"Faisal","given":"Yusuf","non-dropping-particle":"","parse-names":false,"suffix":""},{"dropping-particle":"","family":"Ratnawati","given":"Nirdukita","non-dropping-particle":"","parse-names":false,"suffix":""},{"dropping-particle":"","family":"Sari","given":"Egi Gumala","non-dropping-particle":"","parse-names":false,"suffix":""}],"container-title":"International Journal of Finance &amp; Banking Studies (2147-4486)","id":"ITEM-2","issue":"3","issued":{"date-parts":[["2021"]]},"page":"84-91","title":"Profit Islamic Bank from Mudharabah and Musharakah Finance with Islamic Social Responsibility Disclosure","type":"article-journal","volume":"10"},"uris":["http://www.mendeley.com/documents/?uuid=0f9b79a4-b79b-4489-926c-5ee1b0b8d181"]},{"id":"ITEM-3","itemData":{"DOI":"10.55047/cashflow.v1i3.194","ISSN":"2809-848X","abstract":"This research aims to analyze and empirically test the influence of ijarah revenue, mudharabah financing and third-party funds to the profitability of ROA of Islamic Commercial Bank contained in the Financial Services Authority for the 2016-2020 period. The research method used is a quantitative research method because this study uses numbers with statistical calculations and aims to test the hypotheses that have been made. The independent variables in this study were ijarah revenue, mudharabah financing and third-party funds while the dependent variable in this study was profitability (ROA). The research population is Islamic banking registered with the Financial Services Authority (OJK) in 2016-2020, with sample selection using purposive sampling techniques. Therefore, data on the monthly financial statements of Islamic Commercial Banks were obtained which were summarized in the Islamic Banking Statistics for the period 2016-2020, so that 60 research samples were obtained. Data collection techniques in this research use documentation and literature studies. The data analysis techniques used in this study are descriptive statistics, multiple regression analysis, classical assumption tests, determination coefficient tests and hypothesis testing using the EViews 12 analysis tool. Test F results show that ijarah revenue, mudharabah financing and third-party funds simultaneously have a significant effect on profitability (ROA). Meanwhile, T test reveals that ijarah revenue partially had a positive and significant effect on profitability (ROA), while mudharabah financing partially had a negative and significant effect on profitability (ROA) and third-party funds partially had a positive and significant effect on profitability (ROA).","author":[{"dropping-particle":"","family":"Addawami","given":"Ali Nafi’","non-dropping-particle":"","parse-names":false,"suffix":""},{"dropping-particle":"","family":"Zamzami","given":"R. Mohd.","non-dropping-particle":"","parse-names":false,"suffix":""}],"container-title":"Cashflow : Current Advanced Research on Sharia Finance and Economic Worldwide","id":"ITEM-3","issue":"3","issued":{"date-parts":[["2022"]]},"page":"37-59","title":"Effect of Ijarah Revenue, Mudharabah Financing and Third-Party Funds on the Profitability of Islamic Commercial Banks","type":"article-journal","volume":"1"},"uris":["http://www.mendeley.com/documents/?uuid=3806a76c-d9b6-43ce-a800-d73390af602a"]}],"mendeley":{"formattedCitation":"(Addawami &amp; Zamzami, 2022; El et al., 2022; Faisal et al., 2021)","manualFormatting":"Addawami &amp; Zamzami (2022); El et al (2022) serta Faisal et al (2021)","plainTextFormattedCitation":"(Addawami &amp; Zamzami, 2022; El et al., 2022; Faisal et al., 2021)","previouslyFormattedCitation":"(Addawami &amp; Zamzami, 2022; El et al., 2022; Faisal et al., 2021)"},"properties":{"noteIndex":0},"schema":"https://github.com/citation-style-language/schema/raw/master/csl-citation.json"}</w:instrText>
      </w:r>
      <w:r w:rsidR="00E57B0D" w:rsidRPr="00B14ED8">
        <w:rPr>
          <w:rFonts w:ascii="Times New Roman" w:eastAsia="Times New Roman" w:hAnsi="Times New Roman" w:cs="Times New Roman"/>
          <w:sz w:val="24"/>
          <w:szCs w:val="24"/>
        </w:rPr>
        <w:fldChar w:fldCharType="separate"/>
      </w:r>
      <w:r w:rsidR="00E57B0D" w:rsidRPr="00B14ED8">
        <w:rPr>
          <w:rFonts w:ascii="Times New Roman" w:eastAsia="Times New Roman" w:hAnsi="Times New Roman" w:cs="Times New Roman"/>
          <w:noProof/>
          <w:sz w:val="24"/>
          <w:szCs w:val="24"/>
        </w:rPr>
        <w:t>Addawami &amp; Zamzami (2022); El et al (2022) serta Faisal et al (2021)</w:t>
      </w:r>
      <w:r w:rsidR="00E57B0D" w:rsidRPr="00B14ED8">
        <w:rPr>
          <w:rFonts w:ascii="Times New Roman" w:eastAsia="Times New Roman" w:hAnsi="Times New Roman" w:cs="Times New Roman"/>
          <w:sz w:val="24"/>
          <w:szCs w:val="24"/>
        </w:rPr>
        <w:fldChar w:fldCharType="end"/>
      </w:r>
      <w:r w:rsidR="00E57B0D" w:rsidRPr="00B14ED8">
        <w:rPr>
          <w:rFonts w:ascii="Times New Roman" w:eastAsia="Times New Roman" w:hAnsi="Times New Roman" w:cs="Times New Roman"/>
          <w:sz w:val="24"/>
          <w:szCs w:val="24"/>
        </w:rPr>
        <w:t xml:space="preserve"> </w:t>
      </w:r>
      <w:proofErr w:type="spellStart"/>
      <w:r w:rsidR="00E57B0D" w:rsidRPr="00B14ED8">
        <w:rPr>
          <w:rFonts w:ascii="Times New Roman" w:eastAsia="Times New Roman" w:hAnsi="Times New Roman" w:cs="Times New Roman"/>
          <w:sz w:val="24"/>
          <w:szCs w:val="24"/>
        </w:rPr>
        <w:t>menghasilkan</w:t>
      </w:r>
      <w:proofErr w:type="spellEnd"/>
      <w:r w:rsidR="00E57B0D" w:rsidRPr="00B14ED8">
        <w:rPr>
          <w:rFonts w:ascii="Times New Roman" w:eastAsia="Times New Roman" w:hAnsi="Times New Roman" w:cs="Times New Roman"/>
          <w:sz w:val="24"/>
          <w:szCs w:val="24"/>
        </w:rPr>
        <w:t xml:space="preserve"> </w:t>
      </w:r>
      <w:proofErr w:type="spellStart"/>
      <w:r w:rsidR="00E57B0D" w:rsidRPr="00B14ED8">
        <w:rPr>
          <w:rFonts w:ascii="Times New Roman" w:eastAsia="Times New Roman" w:hAnsi="Times New Roman" w:cs="Times New Roman"/>
          <w:sz w:val="24"/>
          <w:szCs w:val="24"/>
        </w:rPr>
        <w:t>kesimpulan</w:t>
      </w:r>
      <w:proofErr w:type="spellEnd"/>
      <w:r w:rsidR="00E57B0D" w:rsidRPr="00B14ED8">
        <w:rPr>
          <w:rFonts w:ascii="Times New Roman" w:eastAsia="Times New Roman" w:hAnsi="Times New Roman" w:cs="Times New Roman"/>
          <w:sz w:val="24"/>
          <w:szCs w:val="24"/>
        </w:rPr>
        <w:t xml:space="preserve"> </w:t>
      </w:r>
      <w:proofErr w:type="spellStart"/>
      <w:r w:rsidR="00E57B0D" w:rsidRPr="00B14ED8">
        <w:rPr>
          <w:rFonts w:ascii="Times New Roman" w:eastAsia="Times New Roman" w:hAnsi="Times New Roman" w:cs="Times New Roman"/>
          <w:sz w:val="24"/>
          <w:szCs w:val="24"/>
        </w:rPr>
        <w:t>bahwa</w:t>
      </w:r>
      <w:proofErr w:type="spellEnd"/>
      <w:r w:rsidR="00E57B0D" w:rsidRPr="00B14ED8">
        <w:rPr>
          <w:rFonts w:ascii="Times New Roman" w:eastAsia="Times New Roman" w:hAnsi="Times New Roman" w:cs="Times New Roman"/>
          <w:sz w:val="24"/>
          <w:szCs w:val="24"/>
        </w:rPr>
        <w:t xml:space="preserve"> </w:t>
      </w:r>
      <w:proofErr w:type="spellStart"/>
      <w:r w:rsidR="00E57B0D" w:rsidRPr="00B14ED8">
        <w:rPr>
          <w:rFonts w:ascii="Times New Roman" w:eastAsia="Times New Roman" w:hAnsi="Times New Roman" w:cs="Times New Roman"/>
          <w:sz w:val="24"/>
          <w:szCs w:val="24"/>
        </w:rPr>
        <w:t>pembiayaan</w:t>
      </w:r>
      <w:proofErr w:type="spellEnd"/>
      <w:r w:rsidR="00E57B0D" w:rsidRPr="00B14ED8">
        <w:rPr>
          <w:rFonts w:ascii="Times New Roman" w:eastAsia="Times New Roman" w:hAnsi="Times New Roman" w:cs="Times New Roman"/>
          <w:sz w:val="24"/>
          <w:szCs w:val="24"/>
        </w:rPr>
        <w:t xml:space="preserve"> </w:t>
      </w:r>
      <w:proofErr w:type="spellStart"/>
      <w:r w:rsidR="00E57B0D" w:rsidRPr="00B14ED8">
        <w:rPr>
          <w:rFonts w:ascii="Times New Roman" w:eastAsia="Times New Roman" w:hAnsi="Times New Roman" w:cs="Times New Roman"/>
          <w:i/>
          <w:iCs/>
          <w:sz w:val="24"/>
          <w:szCs w:val="24"/>
        </w:rPr>
        <w:t>mudharabah</w:t>
      </w:r>
      <w:proofErr w:type="spellEnd"/>
      <w:r w:rsidR="00E57B0D" w:rsidRPr="00B14ED8">
        <w:rPr>
          <w:rFonts w:ascii="Times New Roman" w:eastAsia="Times New Roman" w:hAnsi="Times New Roman" w:cs="Times New Roman"/>
          <w:i/>
          <w:iCs/>
          <w:sz w:val="24"/>
          <w:szCs w:val="24"/>
        </w:rPr>
        <w:t xml:space="preserve"> </w:t>
      </w:r>
      <w:proofErr w:type="spellStart"/>
      <w:r w:rsidR="00E57B0D" w:rsidRPr="00B14ED8">
        <w:rPr>
          <w:rFonts w:ascii="Times New Roman" w:eastAsia="Times New Roman" w:hAnsi="Times New Roman" w:cs="Times New Roman"/>
          <w:sz w:val="24"/>
          <w:szCs w:val="24"/>
        </w:rPr>
        <w:t>memberikan</w:t>
      </w:r>
      <w:proofErr w:type="spellEnd"/>
      <w:r w:rsidR="00E57B0D" w:rsidRPr="00B14ED8">
        <w:rPr>
          <w:rFonts w:ascii="Times New Roman" w:eastAsia="Times New Roman" w:hAnsi="Times New Roman" w:cs="Times New Roman"/>
          <w:sz w:val="24"/>
          <w:szCs w:val="24"/>
        </w:rPr>
        <w:t xml:space="preserve"> </w:t>
      </w:r>
      <w:proofErr w:type="spellStart"/>
      <w:r w:rsidR="00E57B0D" w:rsidRPr="00B14ED8">
        <w:rPr>
          <w:rFonts w:ascii="Times New Roman" w:eastAsia="Times New Roman" w:hAnsi="Times New Roman" w:cs="Times New Roman"/>
          <w:sz w:val="24"/>
          <w:szCs w:val="24"/>
        </w:rPr>
        <w:t>pengaruh</w:t>
      </w:r>
      <w:proofErr w:type="spellEnd"/>
      <w:r w:rsidR="00E57B0D" w:rsidRPr="00B14ED8">
        <w:rPr>
          <w:rFonts w:ascii="Times New Roman" w:eastAsia="Times New Roman" w:hAnsi="Times New Roman" w:cs="Times New Roman"/>
          <w:sz w:val="24"/>
          <w:szCs w:val="24"/>
        </w:rPr>
        <w:t xml:space="preserve"> </w:t>
      </w:r>
      <w:proofErr w:type="spellStart"/>
      <w:r w:rsidR="00E57B0D" w:rsidRPr="00B14ED8">
        <w:rPr>
          <w:rFonts w:ascii="Times New Roman" w:eastAsia="Times New Roman" w:hAnsi="Times New Roman" w:cs="Times New Roman"/>
          <w:sz w:val="24"/>
          <w:szCs w:val="24"/>
        </w:rPr>
        <w:t>positif</w:t>
      </w:r>
      <w:proofErr w:type="spellEnd"/>
      <w:r w:rsidR="00E57B0D" w:rsidRPr="00B14ED8">
        <w:rPr>
          <w:rFonts w:ascii="Times New Roman" w:eastAsia="Times New Roman" w:hAnsi="Times New Roman" w:cs="Times New Roman"/>
          <w:sz w:val="24"/>
          <w:szCs w:val="24"/>
        </w:rPr>
        <w:t xml:space="preserve"> </w:t>
      </w:r>
      <w:proofErr w:type="spellStart"/>
      <w:r w:rsidR="00E57B0D" w:rsidRPr="00B14ED8">
        <w:rPr>
          <w:rFonts w:ascii="Times New Roman" w:eastAsia="Times New Roman" w:hAnsi="Times New Roman" w:cs="Times New Roman"/>
          <w:sz w:val="24"/>
          <w:szCs w:val="24"/>
        </w:rPr>
        <w:t>signifikan</w:t>
      </w:r>
      <w:proofErr w:type="spellEnd"/>
      <w:r w:rsidR="00E57B0D" w:rsidRPr="00B14ED8">
        <w:rPr>
          <w:rFonts w:ascii="Times New Roman" w:eastAsia="Times New Roman" w:hAnsi="Times New Roman" w:cs="Times New Roman"/>
          <w:sz w:val="24"/>
          <w:szCs w:val="24"/>
        </w:rPr>
        <w:t xml:space="preserve"> </w:t>
      </w:r>
      <w:proofErr w:type="spellStart"/>
      <w:r w:rsidR="00E57B0D" w:rsidRPr="00B14ED8">
        <w:rPr>
          <w:rFonts w:ascii="Times New Roman" w:eastAsia="Times New Roman" w:hAnsi="Times New Roman" w:cs="Times New Roman"/>
          <w:sz w:val="24"/>
          <w:szCs w:val="24"/>
        </w:rPr>
        <w:t>terhadap</w:t>
      </w:r>
      <w:proofErr w:type="spellEnd"/>
      <w:r w:rsidR="00E57B0D" w:rsidRPr="00B14ED8">
        <w:rPr>
          <w:rFonts w:ascii="Times New Roman" w:eastAsia="Times New Roman" w:hAnsi="Times New Roman" w:cs="Times New Roman"/>
          <w:sz w:val="24"/>
          <w:szCs w:val="24"/>
        </w:rPr>
        <w:t xml:space="preserve"> </w:t>
      </w:r>
      <w:proofErr w:type="spellStart"/>
      <w:r w:rsidR="00E57B0D" w:rsidRPr="00B14ED8">
        <w:rPr>
          <w:rFonts w:ascii="Times New Roman" w:eastAsia="Times New Roman" w:hAnsi="Times New Roman" w:cs="Times New Roman"/>
          <w:sz w:val="24"/>
          <w:szCs w:val="24"/>
        </w:rPr>
        <w:t>kinerja</w:t>
      </w:r>
      <w:proofErr w:type="spellEnd"/>
      <w:r w:rsidR="00E57B0D" w:rsidRPr="00B14ED8">
        <w:rPr>
          <w:rFonts w:ascii="Times New Roman" w:eastAsia="Times New Roman" w:hAnsi="Times New Roman" w:cs="Times New Roman"/>
          <w:sz w:val="24"/>
          <w:szCs w:val="24"/>
        </w:rPr>
        <w:t xml:space="preserve"> </w:t>
      </w:r>
      <w:proofErr w:type="spellStart"/>
      <w:r w:rsidR="00E57B0D" w:rsidRPr="00B14ED8">
        <w:rPr>
          <w:rFonts w:ascii="Times New Roman" w:eastAsia="Times New Roman" w:hAnsi="Times New Roman" w:cs="Times New Roman"/>
          <w:sz w:val="24"/>
          <w:szCs w:val="24"/>
        </w:rPr>
        <w:t>keuangan</w:t>
      </w:r>
      <w:proofErr w:type="spellEnd"/>
      <w:r w:rsidR="00FA7CA5" w:rsidRPr="00B14ED8">
        <w:rPr>
          <w:rFonts w:ascii="Times New Roman" w:eastAsia="Times New Roman" w:hAnsi="Times New Roman" w:cs="Times New Roman"/>
          <w:sz w:val="24"/>
          <w:szCs w:val="24"/>
        </w:rPr>
        <w:t xml:space="preserve">. Akan </w:t>
      </w:r>
      <w:proofErr w:type="spellStart"/>
      <w:r w:rsidR="00FA7CA5" w:rsidRPr="00B14ED8">
        <w:rPr>
          <w:rFonts w:ascii="Times New Roman" w:eastAsia="Times New Roman" w:hAnsi="Times New Roman" w:cs="Times New Roman"/>
          <w:sz w:val="24"/>
          <w:szCs w:val="24"/>
        </w:rPr>
        <w:t>tetapi</w:t>
      </w:r>
      <w:proofErr w:type="spellEnd"/>
      <w:r w:rsidR="00FA7CA5" w:rsidRPr="00B14ED8">
        <w:rPr>
          <w:rFonts w:ascii="Times New Roman" w:eastAsia="Times New Roman" w:hAnsi="Times New Roman" w:cs="Times New Roman"/>
          <w:sz w:val="24"/>
          <w:szCs w:val="24"/>
        </w:rPr>
        <w:t xml:space="preserve"> pada </w:t>
      </w:r>
      <w:proofErr w:type="spellStart"/>
      <w:r w:rsidR="006F32D2" w:rsidRPr="00B14ED8">
        <w:rPr>
          <w:rFonts w:ascii="Times New Roman" w:eastAsia="Times New Roman" w:hAnsi="Times New Roman" w:cs="Times New Roman"/>
          <w:sz w:val="24"/>
          <w:szCs w:val="24"/>
        </w:rPr>
        <w:t>studi</w:t>
      </w:r>
      <w:proofErr w:type="spellEnd"/>
      <w:r w:rsidR="006F32D2" w:rsidRPr="00B14ED8">
        <w:rPr>
          <w:rFonts w:ascii="Times New Roman" w:eastAsia="Times New Roman" w:hAnsi="Times New Roman" w:cs="Times New Roman"/>
          <w:sz w:val="24"/>
          <w:szCs w:val="24"/>
        </w:rPr>
        <w:t xml:space="preserve"> </w:t>
      </w:r>
      <w:r w:rsidR="00FA7CA5" w:rsidRPr="00B14ED8">
        <w:rPr>
          <w:rFonts w:ascii="Times New Roman" w:eastAsia="Times New Roman" w:hAnsi="Times New Roman" w:cs="Times New Roman"/>
          <w:sz w:val="24"/>
          <w:szCs w:val="24"/>
        </w:rPr>
        <w:t xml:space="preserve">oleh </w:t>
      </w:r>
      <w:r w:rsidR="00FA7CA5" w:rsidRPr="00B14ED8">
        <w:rPr>
          <w:rFonts w:ascii="Times New Roman" w:eastAsia="Times New Roman" w:hAnsi="Times New Roman" w:cs="Times New Roman"/>
          <w:sz w:val="24"/>
          <w:szCs w:val="24"/>
        </w:rPr>
        <w:fldChar w:fldCharType="begin" w:fldLock="1"/>
      </w:r>
      <w:r w:rsidR="00306126" w:rsidRPr="00B14ED8">
        <w:rPr>
          <w:rFonts w:ascii="Times New Roman" w:eastAsia="Times New Roman" w:hAnsi="Times New Roman" w:cs="Times New Roman"/>
          <w:sz w:val="24"/>
          <w:szCs w:val="24"/>
        </w:rPr>
        <w:instrText>ADDIN CSL_CITATION {"citationItems":[{"id":"ITEM-1","itemData":{"DOI":"10.32678/ijei.v11i2.197","ISSN":"2085-3696","abstract":"This study aims to determine the effect of mudharabah, musharakah, and murabahah financing on profitability through problem financing as a mediating variable. The examined data was sourced from the annual report of Islamic Banking Statistics published by the Otoritas Jasa Keuangan (OJK). The used analytical method is multiple regression and path analysis. The results of this study indicate that mudharabah, musharakah and murabahah financing do not have a significant effect on profitability directly. And then based on the path analysis stated that problematic financing can mediate the influence of musharakah financing on profitability, but it cannot mediate mudharabah and murabahah. The difference between this study with the others is the use of NPF as intervening variable wich is still rarely used by other researchers.","author":[{"dropping-particle":"","family":"Dewantara","given":"Aditama","non-dropping-particle":"","parse-names":false,"suffix":""},{"dropping-particle":"","family":"Bawono","given":"Anton","non-dropping-particle":"","parse-names":false,"suffix":""}],"container-title":"ISLAMICONOMIC: Jurnal Ekonomi Islam","id":"ITEM-1","issue":"2","issued":{"date-parts":[["2020"]]},"page":"109-126","title":"Influence Analisys of Mudharabah, Musharakah, and Murabahah Financing To Profitability of Sharia Commercial Bank in Indonesia 2016-2019 With Non Performing Financing As Intervening Variable","type":"article-journal","volume":"11"},"uris":["http://www.mendeley.com/documents/?uuid=36fc9258-3c20-4ac8-80f3-254adb8ac15a"]},{"id":"ITEM-2","itemData":{"author":[{"dropping-particle":"","family":"Alfiyah","given":"Mike Ayu","non-dropping-particle":"","parse-names":false,"suffix":""},{"dropping-particle":"","family":"Adawiyah","given":"Wiwiek R","non-dropping-particle":"","parse-names":false,"suffix":""},{"dropping-particle":"","family":"Widiastuti","given":"Ekaningtyas","non-dropping-particle":"","parse-names":false,"suffix":""}],"container-title":"Indonesian Journal of Islamic Business and Economics","id":"ITEM-2","issue":"01","issued":{"date-parts":[["2023"]]},"page":"27-50","title":"Analysis of the Influence of Mudharabah Financing , Musyarakah Financing , Capital Adequacy Ratio , and Non-Performing Financing on Banking Performance with Qardhul Hasan as Control Variable ( Case Study on Islamic Commercial Banks in Indonesia in 2013-20","type":"article-journal","volume":"05"},"uris":["http://www.mendeley.com/documents/?uuid=69a55711-a7ec-4af9-925f-16de488df417"]},{"id":"ITEM-3","itemData":{"ISSN":"2722-7618","abstract":"The analytical method used in this research is descriptive statistical analysis, normality test, multicollinearity test, heteroscedasticity test, autocorrelation test and multiple linear regression method using SPSS version 22. The linear regression results are Y = 3.505-0.092X1 + 0.819X2. From the t test of the mudharabah financing variable, it produces tcount-0.356 &lt;ttable 2.0047 and a significance value of 0.732&gt; 0.05. Then Ho is accepted and H1 is rejected, meaning that there is no influence of the mudharabah financing variable (X1) on the return on equity (Y) variable. Musyarakah financing resulted in tcount 3.179&gt; ttable 2.0047 and a significance value of 0.002 &lt;0.05. So Ho is rejected and H2 is accepted, meaning that there is a significant positive influence on the variable of musyarakah financing (X2) on the return on equity (Y).F test obtained Fcount 143.348&gt; Ftable 3.16 and a significance value of 0.000 &lt;0.05. This proves that Ho3 is rejected and H3 is accepted, meaning that there is a significant effect of mudharabah financing (X1) and musyarakah financing (X2) on return on equity (Y).","author":[{"dropping-particle":"","family":"Hayati","given":"Isra","non-dropping-particle":"","parse-names":false,"suffix":""},{"dropping-particle":"","family":"Hasibuan","given":"Silvi Rahmayani","non-dropping-particle":"","parse-names":false,"suffix":""}],"container-title":"Proceeding International Seminar on Islamic Studies","id":"ITEM-3","issue":"1","issued":{"date-parts":[["2021"]]},"page":"374-382","title":"The Effect of Mudharabah and Musyarakah Financing on Return on Equity in Syariah Banks in Indonesia","type":"article-journal","volume":"2"},"uris":["http://www.mendeley.com/documents/?uuid=77ea1caf-6dbd-4c65-9eb5-ecf973249a4c"]}],"mendeley":{"formattedCitation":"(Alfiyah et al., 2023; Dewantara &amp; Bawono, 2020; Hayati &amp; Hasibuan, 2021)","manualFormatting":"Alfiyah et al (2023); Dewantara &amp; Bawono (2020) serta Hayati &amp; Hasibuan (2021)","plainTextFormattedCitation":"(Alfiyah et al., 2023; Dewantara &amp; Bawono, 2020; Hayati &amp; Hasibuan, 2021)","previouslyFormattedCitation":"(Alfiyah et al., 2023; Dewantara &amp; Bawono, 2020; Hayati &amp; Hasibuan, 2021)"},"properties":{"noteIndex":0},"schema":"https://github.com/citation-style-language/schema/raw/master/csl-citation.json"}</w:instrText>
      </w:r>
      <w:r w:rsidR="00FA7CA5" w:rsidRPr="00B14ED8">
        <w:rPr>
          <w:rFonts w:ascii="Times New Roman" w:eastAsia="Times New Roman" w:hAnsi="Times New Roman" w:cs="Times New Roman"/>
          <w:sz w:val="24"/>
          <w:szCs w:val="24"/>
        </w:rPr>
        <w:fldChar w:fldCharType="separate"/>
      </w:r>
      <w:r w:rsidR="00FA7CA5" w:rsidRPr="00B14ED8">
        <w:rPr>
          <w:rFonts w:ascii="Times New Roman" w:eastAsia="Times New Roman" w:hAnsi="Times New Roman" w:cs="Times New Roman"/>
          <w:noProof/>
          <w:sz w:val="24"/>
          <w:szCs w:val="24"/>
        </w:rPr>
        <w:t>Alfiyah et al</w:t>
      </w:r>
      <w:r w:rsidR="009215F7" w:rsidRPr="00B14ED8">
        <w:rPr>
          <w:rFonts w:ascii="Times New Roman" w:eastAsia="Times New Roman" w:hAnsi="Times New Roman" w:cs="Times New Roman"/>
          <w:noProof/>
          <w:sz w:val="24"/>
          <w:szCs w:val="24"/>
        </w:rPr>
        <w:t xml:space="preserve"> (</w:t>
      </w:r>
      <w:r w:rsidR="00FA7CA5" w:rsidRPr="00B14ED8">
        <w:rPr>
          <w:rFonts w:ascii="Times New Roman" w:eastAsia="Times New Roman" w:hAnsi="Times New Roman" w:cs="Times New Roman"/>
          <w:noProof/>
          <w:sz w:val="24"/>
          <w:szCs w:val="24"/>
        </w:rPr>
        <w:t>2023</w:t>
      </w:r>
      <w:r w:rsidR="009215F7" w:rsidRPr="00B14ED8">
        <w:rPr>
          <w:rFonts w:ascii="Times New Roman" w:eastAsia="Times New Roman" w:hAnsi="Times New Roman" w:cs="Times New Roman"/>
          <w:noProof/>
          <w:sz w:val="24"/>
          <w:szCs w:val="24"/>
        </w:rPr>
        <w:t>)</w:t>
      </w:r>
      <w:r w:rsidR="00FA7CA5" w:rsidRPr="00B14ED8">
        <w:rPr>
          <w:rFonts w:ascii="Times New Roman" w:eastAsia="Times New Roman" w:hAnsi="Times New Roman" w:cs="Times New Roman"/>
          <w:noProof/>
          <w:sz w:val="24"/>
          <w:szCs w:val="24"/>
        </w:rPr>
        <w:t>; Dewantara &amp; Bawono</w:t>
      </w:r>
      <w:r w:rsidR="009215F7" w:rsidRPr="00B14ED8">
        <w:rPr>
          <w:rFonts w:ascii="Times New Roman" w:eastAsia="Times New Roman" w:hAnsi="Times New Roman" w:cs="Times New Roman"/>
          <w:noProof/>
          <w:sz w:val="24"/>
          <w:szCs w:val="24"/>
        </w:rPr>
        <w:t xml:space="preserve"> (</w:t>
      </w:r>
      <w:r w:rsidR="00FA7CA5" w:rsidRPr="00B14ED8">
        <w:rPr>
          <w:rFonts w:ascii="Times New Roman" w:eastAsia="Times New Roman" w:hAnsi="Times New Roman" w:cs="Times New Roman"/>
          <w:noProof/>
          <w:sz w:val="24"/>
          <w:szCs w:val="24"/>
        </w:rPr>
        <w:t>2020</w:t>
      </w:r>
      <w:r w:rsidR="009215F7" w:rsidRPr="00B14ED8">
        <w:rPr>
          <w:rFonts w:ascii="Times New Roman" w:eastAsia="Times New Roman" w:hAnsi="Times New Roman" w:cs="Times New Roman"/>
          <w:noProof/>
          <w:sz w:val="24"/>
          <w:szCs w:val="24"/>
        </w:rPr>
        <w:t>) serta</w:t>
      </w:r>
      <w:r w:rsidR="00FA7CA5" w:rsidRPr="00B14ED8">
        <w:rPr>
          <w:rFonts w:ascii="Times New Roman" w:eastAsia="Times New Roman" w:hAnsi="Times New Roman" w:cs="Times New Roman"/>
          <w:noProof/>
          <w:sz w:val="24"/>
          <w:szCs w:val="24"/>
        </w:rPr>
        <w:t xml:space="preserve"> Hayati &amp; Hasibuan</w:t>
      </w:r>
      <w:r w:rsidR="009215F7" w:rsidRPr="00B14ED8">
        <w:rPr>
          <w:rFonts w:ascii="Times New Roman" w:eastAsia="Times New Roman" w:hAnsi="Times New Roman" w:cs="Times New Roman"/>
          <w:noProof/>
          <w:sz w:val="24"/>
          <w:szCs w:val="24"/>
        </w:rPr>
        <w:t xml:space="preserve"> (2</w:t>
      </w:r>
      <w:r w:rsidR="00FA7CA5" w:rsidRPr="00B14ED8">
        <w:rPr>
          <w:rFonts w:ascii="Times New Roman" w:eastAsia="Times New Roman" w:hAnsi="Times New Roman" w:cs="Times New Roman"/>
          <w:noProof/>
          <w:sz w:val="24"/>
          <w:szCs w:val="24"/>
        </w:rPr>
        <w:t>021)</w:t>
      </w:r>
      <w:r w:rsidR="00FA7CA5" w:rsidRPr="00B14ED8">
        <w:rPr>
          <w:rFonts w:ascii="Times New Roman" w:eastAsia="Times New Roman" w:hAnsi="Times New Roman" w:cs="Times New Roman"/>
          <w:sz w:val="24"/>
          <w:szCs w:val="24"/>
        </w:rPr>
        <w:fldChar w:fldCharType="end"/>
      </w:r>
      <w:r w:rsidR="009215F7" w:rsidRPr="00B14ED8">
        <w:rPr>
          <w:rFonts w:ascii="Times New Roman" w:eastAsia="Times New Roman" w:hAnsi="Times New Roman" w:cs="Times New Roman"/>
          <w:sz w:val="24"/>
          <w:szCs w:val="24"/>
        </w:rPr>
        <w:t xml:space="preserve"> </w:t>
      </w:r>
      <w:proofErr w:type="spellStart"/>
      <w:r w:rsidR="009215F7" w:rsidRPr="00B14ED8">
        <w:rPr>
          <w:rFonts w:ascii="Times New Roman" w:eastAsia="Times New Roman" w:hAnsi="Times New Roman" w:cs="Times New Roman"/>
          <w:sz w:val="24"/>
          <w:szCs w:val="24"/>
        </w:rPr>
        <w:t>menyimpulkan</w:t>
      </w:r>
      <w:proofErr w:type="spellEnd"/>
      <w:r w:rsidR="009215F7" w:rsidRPr="00B14ED8">
        <w:rPr>
          <w:rFonts w:ascii="Times New Roman" w:eastAsia="Times New Roman" w:hAnsi="Times New Roman" w:cs="Times New Roman"/>
          <w:sz w:val="24"/>
          <w:szCs w:val="24"/>
        </w:rPr>
        <w:t xml:space="preserve"> </w:t>
      </w:r>
      <w:proofErr w:type="spellStart"/>
      <w:r w:rsidR="00FF48AA" w:rsidRPr="00B14ED8">
        <w:rPr>
          <w:rFonts w:ascii="Times New Roman" w:eastAsia="Times New Roman" w:hAnsi="Times New Roman" w:cs="Times New Roman"/>
          <w:sz w:val="24"/>
          <w:szCs w:val="24"/>
        </w:rPr>
        <w:t>pembiayaan</w:t>
      </w:r>
      <w:proofErr w:type="spellEnd"/>
      <w:r w:rsidR="00FF48AA" w:rsidRPr="00B14ED8">
        <w:rPr>
          <w:rFonts w:ascii="Times New Roman" w:eastAsia="Times New Roman" w:hAnsi="Times New Roman" w:cs="Times New Roman"/>
          <w:sz w:val="24"/>
          <w:szCs w:val="24"/>
        </w:rPr>
        <w:t xml:space="preserve"> </w:t>
      </w:r>
      <w:proofErr w:type="spellStart"/>
      <w:r w:rsidR="00FF48AA" w:rsidRPr="00B14ED8">
        <w:rPr>
          <w:rFonts w:ascii="Times New Roman" w:eastAsia="Times New Roman" w:hAnsi="Times New Roman" w:cs="Times New Roman"/>
          <w:i/>
          <w:iCs/>
          <w:sz w:val="24"/>
          <w:szCs w:val="24"/>
        </w:rPr>
        <w:t>mudharabah</w:t>
      </w:r>
      <w:proofErr w:type="spellEnd"/>
      <w:r w:rsidR="00D07415" w:rsidRPr="00B14ED8">
        <w:rPr>
          <w:rFonts w:ascii="Times New Roman" w:eastAsia="Times New Roman" w:hAnsi="Times New Roman" w:cs="Times New Roman"/>
          <w:i/>
          <w:iCs/>
          <w:sz w:val="24"/>
          <w:szCs w:val="24"/>
        </w:rPr>
        <w:t xml:space="preserve"> </w:t>
      </w:r>
      <w:proofErr w:type="spellStart"/>
      <w:r w:rsidR="00D07415" w:rsidRPr="00B14ED8">
        <w:rPr>
          <w:rFonts w:ascii="Times New Roman" w:eastAsia="Times New Roman" w:hAnsi="Times New Roman" w:cs="Times New Roman"/>
          <w:sz w:val="24"/>
          <w:szCs w:val="24"/>
        </w:rPr>
        <w:t>tidak</w:t>
      </w:r>
      <w:proofErr w:type="spellEnd"/>
      <w:r w:rsidR="00D07415" w:rsidRPr="00B14ED8">
        <w:rPr>
          <w:rFonts w:ascii="Times New Roman" w:eastAsia="Times New Roman" w:hAnsi="Times New Roman" w:cs="Times New Roman"/>
          <w:sz w:val="24"/>
          <w:szCs w:val="24"/>
        </w:rPr>
        <w:t xml:space="preserve"> </w:t>
      </w:r>
      <w:proofErr w:type="spellStart"/>
      <w:r w:rsidR="00D07415" w:rsidRPr="00B14ED8">
        <w:rPr>
          <w:rFonts w:ascii="Times New Roman" w:eastAsia="Times New Roman" w:hAnsi="Times New Roman" w:cs="Times New Roman"/>
          <w:sz w:val="24"/>
          <w:szCs w:val="24"/>
        </w:rPr>
        <w:t>memberikan</w:t>
      </w:r>
      <w:proofErr w:type="spellEnd"/>
      <w:r w:rsidR="00D07415" w:rsidRPr="00B14ED8">
        <w:rPr>
          <w:rFonts w:ascii="Times New Roman" w:eastAsia="Times New Roman" w:hAnsi="Times New Roman" w:cs="Times New Roman"/>
          <w:sz w:val="24"/>
          <w:szCs w:val="24"/>
        </w:rPr>
        <w:t xml:space="preserve"> </w:t>
      </w:r>
      <w:proofErr w:type="spellStart"/>
      <w:r w:rsidR="00D07415" w:rsidRPr="00B14ED8">
        <w:rPr>
          <w:rFonts w:ascii="Times New Roman" w:eastAsia="Times New Roman" w:hAnsi="Times New Roman" w:cs="Times New Roman"/>
          <w:sz w:val="24"/>
          <w:szCs w:val="24"/>
        </w:rPr>
        <w:t>dampak</w:t>
      </w:r>
      <w:proofErr w:type="spellEnd"/>
      <w:r w:rsidR="00D07415" w:rsidRPr="00B14ED8">
        <w:rPr>
          <w:rFonts w:ascii="Times New Roman" w:eastAsia="Times New Roman" w:hAnsi="Times New Roman" w:cs="Times New Roman"/>
          <w:sz w:val="24"/>
          <w:szCs w:val="24"/>
        </w:rPr>
        <w:t xml:space="preserve"> </w:t>
      </w:r>
      <w:proofErr w:type="spellStart"/>
      <w:r w:rsidR="00D07415" w:rsidRPr="00B14ED8">
        <w:rPr>
          <w:rFonts w:ascii="Times New Roman" w:eastAsia="Times New Roman" w:hAnsi="Times New Roman" w:cs="Times New Roman"/>
          <w:sz w:val="24"/>
          <w:szCs w:val="24"/>
        </w:rPr>
        <w:t>signifikan</w:t>
      </w:r>
      <w:proofErr w:type="spellEnd"/>
      <w:r w:rsidR="0012167E" w:rsidRPr="00B14ED8">
        <w:rPr>
          <w:rFonts w:ascii="Times New Roman" w:eastAsia="Times New Roman" w:hAnsi="Times New Roman" w:cs="Times New Roman"/>
          <w:sz w:val="24"/>
          <w:szCs w:val="24"/>
        </w:rPr>
        <w:t xml:space="preserve"> </w:t>
      </w:r>
      <w:proofErr w:type="spellStart"/>
      <w:r w:rsidR="0012167E" w:rsidRPr="00B14ED8">
        <w:rPr>
          <w:rFonts w:ascii="Times New Roman" w:eastAsia="Times New Roman" w:hAnsi="Times New Roman" w:cs="Times New Roman"/>
          <w:sz w:val="24"/>
          <w:szCs w:val="24"/>
        </w:rPr>
        <w:t>terhadap</w:t>
      </w:r>
      <w:proofErr w:type="spellEnd"/>
      <w:r w:rsidR="0012167E" w:rsidRPr="00B14ED8">
        <w:rPr>
          <w:rFonts w:ascii="Times New Roman" w:eastAsia="Times New Roman" w:hAnsi="Times New Roman" w:cs="Times New Roman"/>
          <w:sz w:val="24"/>
          <w:szCs w:val="24"/>
        </w:rPr>
        <w:t xml:space="preserve"> </w:t>
      </w:r>
      <w:proofErr w:type="spellStart"/>
      <w:r w:rsidR="00DC0517" w:rsidRPr="00B14ED8">
        <w:rPr>
          <w:rFonts w:ascii="Times New Roman" w:eastAsia="Times New Roman" w:hAnsi="Times New Roman" w:cs="Times New Roman"/>
          <w:sz w:val="24"/>
          <w:szCs w:val="24"/>
        </w:rPr>
        <w:t>kinerja</w:t>
      </w:r>
      <w:proofErr w:type="spellEnd"/>
      <w:r w:rsidR="00DC0517" w:rsidRPr="00B14ED8">
        <w:rPr>
          <w:rFonts w:ascii="Times New Roman" w:eastAsia="Times New Roman" w:hAnsi="Times New Roman" w:cs="Times New Roman"/>
          <w:sz w:val="24"/>
          <w:szCs w:val="24"/>
        </w:rPr>
        <w:t xml:space="preserve"> </w:t>
      </w:r>
      <w:proofErr w:type="spellStart"/>
      <w:r w:rsidR="00DC0517" w:rsidRPr="00B14ED8">
        <w:rPr>
          <w:rFonts w:ascii="Times New Roman" w:eastAsia="Times New Roman" w:hAnsi="Times New Roman" w:cs="Times New Roman"/>
          <w:sz w:val="24"/>
          <w:szCs w:val="24"/>
        </w:rPr>
        <w:t>keuangan</w:t>
      </w:r>
      <w:proofErr w:type="spellEnd"/>
      <w:r w:rsidR="00215169" w:rsidRPr="00B14ED8">
        <w:rPr>
          <w:rFonts w:ascii="Times New Roman" w:eastAsia="Times New Roman" w:hAnsi="Times New Roman" w:cs="Times New Roman"/>
          <w:sz w:val="24"/>
          <w:szCs w:val="24"/>
        </w:rPr>
        <w:t xml:space="preserve"> </w:t>
      </w:r>
      <w:proofErr w:type="spellStart"/>
      <w:r w:rsidR="00215169" w:rsidRPr="00B14ED8">
        <w:rPr>
          <w:rFonts w:ascii="Times New Roman" w:eastAsia="Times New Roman" w:hAnsi="Times New Roman" w:cs="Times New Roman"/>
          <w:sz w:val="24"/>
          <w:szCs w:val="24"/>
        </w:rPr>
        <w:t>dari</w:t>
      </w:r>
      <w:proofErr w:type="spellEnd"/>
      <w:r w:rsidR="00215169" w:rsidRPr="00B14ED8">
        <w:rPr>
          <w:rFonts w:ascii="Times New Roman" w:eastAsia="Times New Roman" w:hAnsi="Times New Roman" w:cs="Times New Roman"/>
          <w:sz w:val="24"/>
          <w:szCs w:val="24"/>
        </w:rPr>
        <w:t xml:space="preserve"> </w:t>
      </w:r>
      <w:proofErr w:type="spellStart"/>
      <w:r w:rsidR="00215169" w:rsidRPr="00B14ED8">
        <w:rPr>
          <w:rFonts w:ascii="Times New Roman" w:eastAsia="Times New Roman" w:hAnsi="Times New Roman" w:cs="Times New Roman"/>
          <w:sz w:val="24"/>
          <w:szCs w:val="24"/>
        </w:rPr>
        <w:t>perbankan</w:t>
      </w:r>
      <w:proofErr w:type="spellEnd"/>
      <w:r w:rsidR="00215169" w:rsidRPr="00B14ED8">
        <w:rPr>
          <w:rFonts w:ascii="Times New Roman" w:eastAsia="Times New Roman" w:hAnsi="Times New Roman" w:cs="Times New Roman"/>
          <w:sz w:val="24"/>
          <w:szCs w:val="24"/>
        </w:rPr>
        <w:t xml:space="preserve"> </w:t>
      </w:r>
      <w:proofErr w:type="spellStart"/>
      <w:r w:rsidR="00215169" w:rsidRPr="00B14ED8">
        <w:rPr>
          <w:rFonts w:ascii="Times New Roman" w:eastAsia="Times New Roman" w:hAnsi="Times New Roman" w:cs="Times New Roman"/>
          <w:sz w:val="24"/>
          <w:szCs w:val="24"/>
        </w:rPr>
        <w:t>syariah</w:t>
      </w:r>
      <w:proofErr w:type="spellEnd"/>
      <w:r w:rsidR="00050A28" w:rsidRPr="00B14ED8">
        <w:rPr>
          <w:rFonts w:ascii="Times New Roman" w:eastAsia="Times New Roman" w:hAnsi="Times New Roman" w:cs="Times New Roman"/>
          <w:sz w:val="24"/>
          <w:szCs w:val="24"/>
        </w:rPr>
        <w:t>.</w:t>
      </w:r>
      <w:r w:rsidR="00D163DA" w:rsidRPr="00B14ED8">
        <w:rPr>
          <w:rFonts w:ascii="Times New Roman" w:eastAsia="Times New Roman" w:hAnsi="Times New Roman" w:cs="Times New Roman"/>
          <w:sz w:val="24"/>
          <w:szCs w:val="24"/>
        </w:rPr>
        <w:t xml:space="preserve"> </w:t>
      </w:r>
    </w:p>
    <w:p w14:paraId="73D06033" w14:textId="78D3C9AF" w:rsidR="004769D1" w:rsidRPr="00B14ED8" w:rsidRDefault="00543E09" w:rsidP="00B14ED8">
      <w:pPr>
        <w:spacing w:after="0" w:line="360" w:lineRule="auto"/>
        <w:ind w:firstLine="567"/>
        <w:jc w:val="both"/>
        <w:rPr>
          <w:rFonts w:ascii="Times New Roman" w:eastAsia="Times New Roman" w:hAnsi="Times New Roman" w:cs="Times New Roman"/>
          <w:sz w:val="24"/>
          <w:szCs w:val="24"/>
        </w:rPr>
      </w:pPr>
      <w:proofErr w:type="spellStart"/>
      <w:r w:rsidRPr="00B14ED8">
        <w:rPr>
          <w:rFonts w:ascii="Times New Roman" w:eastAsia="Times New Roman" w:hAnsi="Times New Roman" w:cs="Times New Roman"/>
          <w:sz w:val="24"/>
          <w:szCs w:val="24"/>
        </w:rPr>
        <w:t>Studi</w:t>
      </w:r>
      <w:proofErr w:type="spellEnd"/>
      <w:r w:rsidR="0090382B" w:rsidRPr="00B14ED8">
        <w:rPr>
          <w:rFonts w:ascii="Times New Roman" w:eastAsia="Times New Roman" w:hAnsi="Times New Roman" w:cs="Times New Roman"/>
          <w:sz w:val="24"/>
          <w:szCs w:val="24"/>
        </w:rPr>
        <w:t xml:space="preserve"> oleh </w:t>
      </w:r>
      <w:r w:rsidR="00306126" w:rsidRPr="00B14ED8">
        <w:rPr>
          <w:rFonts w:ascii="Times New Roman" w:eastAsia="Times New Roman" w:hAnsi="Times New Roman" w:cs="Times New Roman"/>
          <w:sz w:val="24"/>
          <w:szCs w:val="24"/>
        </w:rPr>
        <w:fldChar w:fldCharType="begin" w:fldLock="1"/>
      </w:r>
      <w:r w:rsidR="007A3EA6" w:rsidRPr="00B14ED8">
        <w:rPr>
          <w:rFonts w:ascii="Times New Roman" w:eastAsia="Times New Roman" w:hAnsi="Times New Roman" w:cs="Times New Roman"/>
          <w:sz w:val="24"/>
          <w:szCs w:val="24"/>
        </w:rPr>
        <w:instrText>ADDIN CSL_CITATION {"citationItems":[{"id":"ITEM-1","itemData":{"DOI":"10.20885/ajim.vol2.iss1.art5","abstract":"Purpose: This study aims to examine the effect of financing products with the principle of profit-loss sharing offered by Sharia Banks to the level of profitability of Sharia Banks. The financing product under profit sharing principle of Sharia Bank can be categorized into two types namely Mudharaba and Musharaka. The effect of Mudharaba and Musharaka on the profitability level of Sharia Banks is tested partially and simultaneously. In this study, the profitability level of Sharia Bank is measured by Return On Equity (ROE). Methodology: The sample of this research is the Sharia Bank registered in Bank Indonesia. The sample selection in this study used purposive sampling method and obtained6 samples for the study period of 2012-2016. This research uses Multiple Linear Regression analysis method to analyze the data. Findings: Results of this study indicate that financing products with profit-loss sharing principles represented by the proxy of Mudharaba and Musharaka have a significant effect on the profitability level of Sharia Banks for the period of 2012-2016. Mudharaba is partially significant and positive to the profitability level of Sharia Banks for the period of 2012-2016, Musharaka partially has a significant and negative effect on the profitability level of Sharia Banks for the period of 2012-2016, and Mudharaba and Musharaka simultaneously have a significant influence to the level of profitability of Sharia Banks for the period of 2012-2016. Originality: This study enriches the discussion of the effect of financing products with the principle of profit-loss sharing offered by Sharia Banks to the level of profitability of Sharia Bank. The effect of Mudharaba and Musharaka on the profitability level of Sharia Banks is tested to the profitability level of Sharia Banks","author":[{"dropping-particle":"","family":"Syahri","given":"Nurul Alfi","non-dropping-particle":"","parse-names":false,"suffix":""},{"dropping-particle":"","family":"Harjito","given":"Dwipraptono Agus","non-dropping-particle":"","parse-names":false,"suffix":""}],"container-title":"Asian Journal of Islamic Management (AJIM)","id":"ITEM-1","issue":"1","issued":{"date-parts":[["2020"]]},"page":"46-58","title":"The effect of financing using the principle of profit-loss sharing on profitability level of commercial Islamic bank registered in Bank Indonesia","type":"article-journal","volume":"2"},"uris":["http://www.mendeley.com/documents/?uuid=7bf21b12-2e15-4475-bea1-15d624a5d3eb"]},{"id":"ITEM-2","itemData":{"DOI":"10.21154/niqosiya.v1i2.413","ISSN":"2798-6373","abstract":"Aim of this research is the phenomenon on the 2016-2020 financial statements of BRI Syariah Bank. It shows that the increase in income is not always followed by an increase in Return On Equity (ROE) at BRI Syariah Bank, vice versa. The purpose of this study was to determine the effect of mudharabah, musyaraka, and ijarah both in the long and short term on Return On Equity (ROE). The method of this study used quantitative methods, and used secondary data. The population and sample used in this study are BRI Syariah Bank monthly reports, including mudharabah, musyaraka, and ijarah in the 2016-2020 period. The analytical method used is the Error Correction Model (ECM) with the Eviews program. The results in this study indicate that in the short term and long term, mudharabah has a significant positive effect on return on equity (ROE), the short term results show that the t-statistic (t-count) is greater than the t-critical (2.833045&gt;2.002247). . Meanwhile, the results of the long-term test show that the t-statistic (t-count) is more significant than t-critical (2.467613&gt;2.002247). Musharaka in the short term and long term affects the return on equity (ROE). The short-term results show that the t-statistic (t-count) is greater than the t-critical (2.909601&gt;2.002247). Meanwhile, the results of the long-term test show that the t-statistic (t-count) is more significant than t-critical (2.733504&gt;2.002247). While ijarah in the short term and the long term does not affect the return on equity (ROE), the short term results show that the t-statistic (t-count) is greater than the t-critical (1.330407&lt;2.002247). Meanwhile, the results of the long-term test show that the t-statistic (t-count) is more significant than t-critical (1.256261&lt;2.002247). Simultaneously, in the short term, mudharabah, Musharaka, and ijarah have a significant and positive effect on the return on equity (ROE) of 23.8249%. While in the long term, it has a significant effect of 28.3164%.","author":[{"dropping-particle":"","family":"Fransiska","given":"Filia","non-dropping-particle":"","parse-names":false,"suffix":""},{"dropping-particle":"","family":"Rahman","given":"Asmak Ab","non-dropping-particle":"","parse-names":false,"suffix":""},{"dropping-particle":"","family":"Maharani","given":"Shinta","non-dropping-particle":"","parse-names":false,"suffix":""}],"container-title":"Niqosiya: Journal of Economics and Business Research","id":"ITEM-2","issue":"2","issued":{"date-parts":[["2021"]]},"page":"268-285","title":"The Effect of Mudharabah, Musharaka, and Ijarah Financing To Return on Equity in Bank Bri Sharia Period 2016-2020","type":"article-journal","volume":"1"},"uris":["http://www.mendeley.com/documents/?uuid=03a21748-7dc7-4277-98e6-470cb1f6cf7c"]},{"id":"ITEM-3","itemData":{"abstract":"This study at to analyze the effect of mudharabah and musharakah to profitability. This research collects empirical evidence. The population in this study is the whole of financing, musharakah financing and return on assets of Islamic banks in Indonesia. The data is taken from the financial statements of income and statements of financial position. Based on this research, known variables influence mudharabah and musharakah has a significant effect on profitability simultaneously. Partially, the mudarabah variable has a positive effect, but no significant effect on profitability. While the musyarakah variable has a partially positive and significant impact on profitability.","author":[{"dropping-particle":"","family":"Syahputra","given":"Rahmad","non-dropping-particle":"","parse-names":false,"suffix":""}],"container-title":"IJAFIBS","id":"ITEM-3","issue":"4","issued":{"date-parts":[["2021"]]},"page":"142-147","title":"The Effect of Mudharabah and Musyarakah Financing Risks on The Profitability of Sharia Commercial Banks in Indonesia","type":"article-journal","volume":"8"},"uris":["http://www.mendeley.com/documents/?uuid=fda545c0-a483-4061-93c0-71b39a92e6e3"]}],"mendeley":{"formattedCitation":"(Fransiska et al., 2021; Syahputra, 2021; Syahri &amp; Harjito, 2020)","manualFormatting":"Fransiska et al (2021); Syahputra (2021) serta Syahri &amp; Harjito (2020)","plainTextFormattedCitation":"(Fransiska et al., 2021; Syahputra, 2021; Syahri &amp; Harjito, 2020)","previouslyFormattedCitation":"(Fransiska et al., 2021; Syahputra, 2021; Syahri &amp; Harjito, 2020)"},"properties":{"noteIndex":0},"schema":"https://github.com/citation-style-language/schema/raw/master/csl-citation.json"}</w:instrText>
      </w:r>
      <w:r w:rsidR="00306126" w:rsidRPr="00B14ED8">
        <w:rPr>
          <w:rFonts w:ascii="Times New Roman" w:eastAsia="Times New Roman" w:hAnsi="Times New Roman" w:cs="Times New Roman"/>
          <w:sz w:val="24"/>
          <w:szCs w:val="24"/>
        </w:rPr>
        <w:fldChar w:fldCharType="separate"/>
      </w:r>
      <w:r w:rsidR="00306126" w:rsidRPr="00B14ED8">
        <w:rPr>
          <w:rFonts w:ascii="Times New Roman" w:eastAsia="Times New Roman" w:hAnsi="Times New Roman" w:cs="Times New Roman"/>
          <w:noProof/>
          <w:sz w:val="24"/>
          <w:szCs w:val="24"/>
        </w:rPr>
        <w:t>Fransiska et al</w:t>
      </w:r>
      <w:r w:rsidR="007A3EA6" w:rsidRPr="00B14ED8">
        <w:rPr>
          <w:rFonts w:ascii="Times New Roman" w:eastAsia="Times New Roman" w:hAnsi="Times New Roman" w:cs="Times New Roman"/>
          <w:noProof/>
          <w:sz w:val="24"/>
          <w:szCs w:val="24"/>
        </w:rPr>
        <w:t xml:space="preserve"> (</w:t>
      </w:r>
      <w:r w:rsidR="00306126" w:rsidRPr="00B14ED8">
        <w:rPr>
          <w:rFonts w:ascii="Times New Roman" w:eastAsia="Times New Roman" w:hAnsi="Times New Roman" w:cs="Times New Roman"/>
          <w:noProof/>
          <w:sz w:val="24"/>
          <w:szCs w:val="24"/>
        </w:rPr>
        <w:t>2021</w:t>
      </w:r>
      <w:r w:rsidR="007A3EA6" w:rsidRPr="00B14ED8">
        <w:rPr>
          <w:rFonts w:ascii="Times New Roman" w:eastAsia="Times New Roman" w:hAnsi="Times New Roman" w:cs="Times New Roman"/>
          <w:noProof/>
          <w:sz w:val="24"/>
          <w:szCs w:val="24"/>
        </w:rPr>
        <w:t>)</w:t>
      </w:r>
      <w:r w:rsidR="00306126" w:rsidRPr="00B14ED8">
        <w:rPr>
          <w:rFonts w:ascii="Times New Roman" w:eastAsia="Times New Roman" w:hAnsi="Times New Roman" w:cs="Times New Roman"/>
          <w:noProof/>
          <w:sz w:val="24"/>
          <w:szCs w:val="24"/>
        </w:rPr>
        <w:t>; Syahputra</w:t>
      </w:r>
      <w:r w:rsidR="007A3EA6" w:rsidRPr="00B14ED8">
        <w:rPr>
          <w:rFonts w:ascii="Times New Roman" w:eastAsia="Times New Roman" w:hAnsi="Times New Roman" w:cs="Times New Roman"/>
          <w:noProof/>
          <w:sz w:val="24"/>
          <w:szCs w:val="24"/>
        </w:rPr>
        <w:t xml:space="preserve"> (</w:t>
      </w:r>
      <w:r w:rsidR="00306126" w:rsidRPr="00B14ED8">
        <w:rPr>
          <w:rFonts w:ascii="Times New Roman" w:eastAsia="Times New Roman" w:hAnsi="Times New Roman" w:cs="Times New Roman"/>
          <w:noProof/>
          <w:sz w:val="24"/>
          <w:szCs w:val="24"/>
        </w:rPr>
        <w:t>2021</w:t>
      </w:r>
      <w:r w:rsidR="007A3EA6" w:rsidRPr="00B14ED8">
        <w:rPr>
          <w:rFonts w:ascii="Times New Roman" w:eastAsia="Times New Roman" w:hAnsi="Times New Roman" w:cs="Times New Roman"/>
          <w:noProof/>
          <w:sz w:val="24"/>
          <w:szCs w:val="24"/>
        </w:rPr>
        <w:t xml:space="preserve">) serta </w:t>
      </w:r>
      <w:r w:rsidR="00306126" w:rsidRPr="00B14ED8">
        <w:rPr>
          <w:rFonts w:ascii="Times New Roman" w:eastAsia="Times New Roman" w:hAnsi="Times New Roman" w:cs="Times New Roman"/>
          <w:noProof/>
          <w:sz w:val="24"/>
          <w:szCs w:val="24"/>
        </w:rPr>
        <w:t>Syahri &amp; Harjito</w:t>
      </w:r>
      <w:r w:rsidR="007A3EA6" w:rsidRPr="00B14ED8">
        <w:rPr>
          <w:rFonts w:ascii="Times New Roman" w:eastAsia="Times New Roman" w:hAnsi="Times New Roman" w:cs="Times New Roman"/>
          <w:noProof/>
          <w:sz w:val="24"/>
          <w:szCs w:val="24"/>
        </w:rPr>
        <w:t xml:space="preserve"> (</w:t>
      </w:r>
      <w:r w:rsidR="00306126" w:rsidRPr="00B14ED8">
        <w:rPr>
          <w:rFonts w:ascii="Times New Roman" w:eastAsia="Times New Roman" w:hAnsi="Times New Roman" w:cs="Times New Roman"/>
          <w:noProof/>
          <w:sz w:val="24"/>
          <w:szCs w:val="24"/>
        </w:rPr>
        <w:t>2020)</w:t>
      </w:r>
      <w:r w:rsidR="00306126" w:rsidRPr="00B14ED8">
        <w:rPr>
          <w:rFonts w:ascii="Times New Roman" w:eastAsia="Times New Roman" w:hAnsi="Times New Roman" w:cs="Times New Roman"/>
          <w:sz w:val="24"/>
          <w:szCs w:val="24"/>
        </w:rPr>
        <w:fldChar w:fldCharType="end"/>
      </w:r>
      <w:r w:rsidR="00306126" w:rsidRPr="00B14ED8">
        <w:rPr>
          <w:rFonts w:ascii="Times New Roman" w:eastAsia="Times New Roman" w:hAnsi="Times New Roman" w:cs="Times New Roman"/>
          <w:sz w:val="24"/>
          <w:szCs w:val="24"/>
        </w:rPr>
        <w:t xml:space="preserve"> </w:t>
      </w:r>
      <w:proofErr w:type="spellStart"/>
      <w:r w:rsidR="00306126" w:rsidRPr="00B14ED8">
        <w:rPr>
          <w:rFonts w:ascii="Times New Roman" w:eastAsia="Times New Roman" w:hAnsi="Times New Roman" w:cs="Times New Roman"/>
          <w:sz w:val="24"/>
          <w:szCs w:val="24"/>
        </w:rPr>
        <w:t>menyimp</w:t>
      </w:r>
      <w:r w:rsidR="00DF2EE5" w:rsidRPr="00B14ED8">
        <w:rPr>
          <w:rFonts w:ascii="Times New Roman" w:eastAsia="Times New Roman" w:hAnsi="Times New Roman" w:cs="Times New Roman"/>
          <w:sz w:val="24"/>
          <w:szCs w:val="24"/>
        </w:rPr>
        <w:t>ulkan</w:t>
      </w:r>
      <w:proofErr w:type="spellEnd"/>
      <w:r w:rsidR="00DF2EE5" w:rsidRPr="00B14ED8">
        <w:rPr>
          <w:rFonts w:ascii="Times New Roman" w:eastAsia="Times New Roman" w:hAnsi="Times New Roman" w:cs="Times New Roman"/>
          <w:sz w:val="24"/>
          <w:szCs w:val="24"/>
        </w:rPr>
        <w:t xml:space="preserve"> </w:t>
      </w:r>
      <w:proofErr w:type="spellStart"/>
      <w:r w:rsidR="00546A69" w:rsidRPr="00B14ED8">
        <w:rPr>
          <w:rFonts w:ascii="Times New Roman" w:eastAsia="Times New Roman" w:hAnsi="Times New Roman" w:cs="Times New Roman"/>
          <w:sz w:val="24"/>
          <w:szCs w:val="24"/>
        </w:rPr>
        <w:t>pembiayaan</w:t>
      </w:r>
      <w:proofErr w:type="spellEnd"/>
      <w:r w:rsidR="00546A69" w:rsidRPr="00B14ED8">
        <w:rPr>
          <w:rFonts w:ascii="Times New Roman" w:eastAsia="Times New Roman" w:hAnsi="Times New Roman" w:cs="Times New Roman"/>
          <w:sz w:val="24"/>
          <w:szCs w:val="24"/>
        </w:rPr>
        <w:t xml:space="preserve"> </w:t>
      </w:r>
      <w:proofErr w:type="spellStart"/>
      <w:r w:rsidR="00546A69" w:rsidRPr="00B14ED8">
        <w:rPr>
          <w:rFonts w:ascii="Times New Roman" w:eastAsia="Times New Roman" w:hAnsi="Times New Roman" w:cs="Times New Roman"/>
          <w:i/>
          <w:iCs/>
          <w:sz w:val="24"/>
          <w:szCs w:val="24"/>
        </w:rPr>
        <w:t>musyarakah</w:t>
      </w:r>
      <w:proofErr w:type="spellEnd"/>
      <w:r w:rsidR="00546A69" w:rsidRPr="00B14ED8">
        <w:rPr>
          <w:rFonts w:ascii="Times New Roman" w:eastAsia="Times New Roman" w:hAnsi="Times New Roman" w:cs="Times New Roman"/>
          <w:i/>
          <w:iCs/>
          <w:sz w:val="24"/>
          <w:szCs w:val="24"/>
        </w:rPr>
        <w:t xml:space="preserve"> </w:t>
      </w:r>
      <w:proofErr w:type="spellStart"/>
      <w:r w:rsidR="00546A69" w:rsidRPr="00B14ED8">
        <w:rPr>
          <w:rFonts w:ascii="Times New Roman" w:eastAsia="Times New Roman" w:hAnsi="Times New Roman" w:cs="Times New Roman"/>
          <w:sz w:val="24"/>
          <w:szCs w:val="24"/>
        </w:rPr>
        <w:t>memberikan</w:t>
      </w:r>
      <w:proofErr w:type="spellEnd"/>
      <w:r w:rsidR="00546A69" w:rsidRPr="00B14ED8">
        <w:rPr>
          <w:rFonts w:ascii="Times New Roman" w:eastAsia="Times New Roman" w:hAnsi="Times New Roman" w:cs="Times New Roman"/>
          <w:sz w:val="24"/>
          <w:szCs w:val="24"/>
        </w:rPr>
        <w:t xml:space="preserve"> </w:t>
      </w:r>
      <w:proofErr w:type="spellStart"/>
      <w:r w:rsidR="00546A69" w:rsidRPr="00B14ED8">
        <w:rPr>
          <w:rFonts w:ascii="Times New Roman" w:eastAsia="Times New Roman" w:hAnsi="Times New Roman" w:cs="Times New Roman"/>
          <w:sz w:val="24"/>
          <w:szCs w:val="24"/>
        </w:rPr>
        <w:t>pengaruh</w:t>
      </w:r>
      <w:proofErr w:type="spellEnd"/>
      <w:r w:rsidR="00546A69" w:rsidRPr="00B14ED8">
        <w:rPr>
          <w:rFonts w:ascii="Times New Roman" w:eastAsia="Times New Roman" w:hAnsi="Times New Roman" w:cs="Times New Roman"/>
          <w:sz w:val="24"/>
          <w:szCs w:val="24"/>
        </w:rPr>
        <w:t xml:space="preserve"> </w:t>
      </w:r>
      <w:proofErr w:type="spellStart"/>
      <w:r w:rsidR="00546A69" w:rsidRPr="00B14ED8">
        <w:rPr>
          <w:rFonts w:ascii="Times New Roman" w:eastAsia="Times New Roman" w:hAnsi="Times New Roman" w:cs="Times New Roman"/>
          <w:sz w:val="24"/>
          <w:szCs w:val="24"/>
        </w:rPr>
        <w:t>positif</w:t>
      </w:r>
      <w:proofErr w:type="spellEnd"/>
      <w:r w:rsidR="00546A69" w:rsidRPr="00B14ED8">
        <w:rPr>
          <w:rFonts w:ascii="Times New Roman" w:eastAsia="Times New Roman" w:hAnsi="Times New Roman" w:cs="Times New Roman"/>
          <w:sz w:val="24"/>
          <w:szCs w:val="24"/>
        </w:rPr>
        <w:t xml:space="preserve"> </w:t>
      </w:r>
      <w:proofErr w:type="spellStart"/>
      <w:r w:rsidR="00546A69" w:rsidRPr="00B14ED8">
        <w:rPr>
          <w:rFonts w:ascii="Times New Roman" w:eastAsia="Times New Roman" w:hAnsi="Times New Roman" w:cs="Times New Roman"/>
          <w:sz w:val="24"/>
          <w:szCs w:val="24"/>
        </w:rPr>
        <w:t>signifikan</w:t>
      </w:r>
      <w:proofErr w:type="spellEnd"/>
      <w:r w:rsidR="00546A69" w:rsidRPr="00B14ED8">
        <w:rPr>
          <w:rFonts w:ascii="Times New Roman" w:eastAsia="Times New Roman" w:hAnsi="Times New Roman" w:cs="Times New Roman"/>
          <w:sz w:val="24"/>
          <w:szCs w:val="24"/>
        </w:rPr>
        <w:t xml:space="preserve"> </w:t>
      </w:r>
      <w:proofErr w:type="spellStart"/>
      <w:r w:rsidR="00546A69" w:rsidRPr="00B14ED8">
        <w:rPr>
          <w:rFonts w:ascii="Times New Roman" w:eastAsia="Times New Roman" w:hAnsi="Times New Roman" w:cs="Times New Roman"/>
          <w:sz w:val="24"/>
          <w:szCs w:val="24"/>
        </w:rPr>
        <w:t>terhadap</w:t>
      </w:r>
      <w:proofErr w:type="spellEnd"/>
      <w:r w:rsidR="00546A69" w:rsidRPr="00B14ED8">
        <w:rPr>
          <w:rFonts w:ascii="Times New Roman" w:eastAsia="Times New Roman" w:hAnsi="Times New Roman" w:cs="Times New Roman"/>
          <w:sz w:val="24"/>
          <w:szCs w:val="24"/>
        </w:rPr>
        <w:t xml:space="preserve"> </w:t>
      </w:r>
      <w:proofErr w:type="spellStart"/>
      <w:r w:rsidR="00546A69" w:rsidRPr="00B14ED8">
        <w:rPr>
          <w:rFonts w:ascii="Times New Roman" w:eastAsia="Times New Roman" w:hAnsi="Times New Roman" w:cs="Times New Roman"/>
          <w:sz w:val="24"/>
          <w:szCs w:val="24"/>
        </w:rPr>
        <w:t>kinerja</w:t>
      </w:r>
      <w:proofErr w:type="spellEnd"/>
      <w:r w:rsidR="00546A69" w:rsidRPr="00B14ED8">
        <w:rPr>
          <w:rFonts w:ascii="Times New Roman" w:eastAsia="Times New Roman" w:hAnsi="Times New Roman" w:cs="Times New Roman"/>
          <w:sz w:val="24"/>
          <w:szCs w:val="24"/>
        </w:rPr>
        <w:t xml:space="preserve"> </w:t>
      </w:r>
      <w:proofErr w:type="spellStart"/>
      <w:r w:rsidR="00546A69" w:rsidRPr="00B14ED8">
        <w:rPr>
          <w:rFonts w:ascii="Times New Roman" w:eastAsia="Times New Roman" w:hAnsi="Times New Roman" w:cs="Times New Roman"/>
          <w:sz w:val="24"/>
          <w:szCs w:val="24"/>
        </w:rPr>
        <w:t>keuangan</w:t>
      </w:r>
      <w:proofErr w:type="spellEnd"/>
      <w:r w:rsidR="00546A69" w:rsidRPr="00B14ED8">
        <w:rPr>
          <w:rFonts w:ascii="Times New Roman" w:eastAsia="Times New Roman" w:hAnsi="Times New Roman" w:cs="Times New Roman"/>
          <w:sz w:val="24"/>
          <w:szCs w:val="24"/>
        </w:rPr>
        <w:t xml:space="preserve">. </w:t>
      </w:r>
      <w:proofErr w:type="spellStart"/>
      <w:r w:rsidR="00546A69" w:rsidRPr="00B14ED8">
        <w:rPr>
          <w:rFonts w:ascii="Times New Roman" w:eastAsia="Times New Roman" w:hAnsi="Times New Roman" w:cs="Times New Roman"/>
          <w:sz w:val="24"/>
          <w:szCs w:val="24"/>
        </w:rPr>
        <w:t>Sementara</w:t>
      </w:r>
      <w:proofErr w:type="spellEnd"/>
      <w:r w:rsidR="00546A69" w:rsidRPr="00B14ED8">
        <w:rPr>
          <w:rFonts w:ascii="Times New Roman" w:eastAsia="Times New Roman" w:hAnsi="Times New Roman" w:cs="Times New Roman"/>
          <w:sz w:val="24"/>
          <w:szCs w:val="24"/>
        </w:rPr>
        <w:t xml:space="preserve"> pada </w:t>
      </w:r>
      <w:proofErr w:type="spellStart"/>
      <w:r w:rsidR="000F2BF6" w:rsidRPr="00B14ED8">
        <w:rPr>
          <w:rFonts w:ascii="Times New Roman" w:eastAsia="Times New Roman" w:hAnsi="Times New Roman" w:cs="Times New Roman"/>
          <w:sz w:val="24"/>
          <w:szCs w:val="24"/>
        </w:rPr>
        <w:t>studi</w:t>
      </w:r>
      <w:proofErr w:type="spellEnd"/>
      <w:r w:rsidR="000F2BF6" w:rsidRPr="00B14ED8">
        <w:rPr>
          <w:rFonts w:ascii="Times New Roman" w:eastAsia="Times New Roman" w:hAnsi="Times New Roman" w:cs="Times New Roman"/>
          <w:sz w:val="24"/>
          <w:szCs w:val="24"/>
        </w:rPr>
        <w:t xml:space="preserve"> </w:t>
      </w:r>
      <w:proofErr w:type="spellStart"/>
      <w:r w:rsidR="000F2BF6" w:rsidRPr="00B14ED8">
        <w:rPr>
          <w:rFonts w:ascii="Times New Roman" w:eastAsia="Times New Roman" w:hAnsi="Times New Roman" w:cs="Times New Roman"/>
          <w:sz w:val="24"/>
          <w:szCs w:val="24"/>
        </w:rPr>
        <w:t>lainnya</w:t>
      </w:r>
      <w:proofErr w:type="spellEnd"/>
      <w:r w:rsidR="00546A69" w:rsidRPr="00B14ED8">
        <w:rPr>
          <w:rFonts w:ascii="Times New Roman" w:eastAsia="Times New Roman" w:hAnsi="Times New Roman" w:cs="Times New Roman"/>
          <w:sz w:val="24"/>
          <w:szCs w:val="24"/>
        </w:rPr>
        <w:t xml:space="preserve"> oleh </w:t>
      </w:r>
      <w:r w:rsidR="00546A69" w:rsidRPr="00B14ED8">
        <w:rPr>
          <w:rFonts w:ascii="Times New Roman" w:eastAsia="Times New Roman" w:hAnsi="Times New Roman" w:cs="Times New Roman"/>
          <w:sz w:val="24"/>
          <w:szCs w:val="24"/>
        </w:rPr>
        <w:fldChar w:fldCharType="begin" w:fldLock="1"/>
      </w:r>
      <w:r w:rsidR="00B90DF5" w:rsidRPr="00B14ED8">
        <w:rPr>
          <w:rFonts w:ascii="Times New Roman" w:eastAsia="Times New Roman" w:hAnsi="Times New Roman" w:cs="Times New Roman"/>
          <w:sz w:val="24"/>
          <w:szCs w:val="24"/>
        </w:rPr>
        <w:instrText>ADDIN CSL_CITATION {"citationItems":[{"id":"ITEM-1","itemData":{"DOI":"10.20525/ijfbs.v10i3.1329","abstract":"This research was conducted to determine the effect of mudharabah and musharakah financing on net profit of Islamic commercial banks in Indonesia. This study uses the annual financial statements of Islamic commercial banks obtained from the Financial Services Authority and annual reports on the website of Islamic commercial banks for the period 2010-2019. The test results found that mudharabah financing had a significant effect on the net profit of Islamic banks, this also strengthened Islamic social responsibility of Islamic commercial banks. But unlike mudharabah financing, musharakah financing actually has a negative effect on the net profit of Islamic commercial banks, which means that the higher the Islamic bank distributes musharakah financing, the rate of profit will decrease which results in the weakening of Islamic social responsibility disclosure. It is recommended that Islamic banks exercise greater caution when selecting consumers for mudharabah financing, as this type of financing carries a higher risk but also a higher profit share if the financing is successful. This research has a limitation in that it focuses exclusively on Islamic commercial banks in Indonesia, although additional research might be conducted by sampling Sharia Business Unit and Sharia Rural Bank.","author":[{"dropping-particle":"","family":"Faisal","given":"Yusuf","non-dropping-particle":"","parse-names":false,"suffix":""},{"dropping-particle":"","family":"Ratnawati","given":"Nirdukita","non-dropping-particle":"","parse-names":false,"suffix":""},{"dropping-particle":"","family":"Sari","given":"Egi Gumala","non-dropping-particle":"","parse-names":false,"suffix":""}],"container-title":"International Journal of Finance &amp; Banking Studies (2147-4486)","id":"ITEM-1","issue":"3","issued":{"date-parts":[["2021"]]},"page":"84-91","title":"Profit Islamic Bank from Mudharabah and Musharakah Finance with Islamic Social Responsibility Disclosure","type":"article-journal","volume":"10"},"uris":["http://www.mendeley.com/documents/?uuid=0f9b79a4-b79b-4489-926c-5ee1b0b8d181"]}],"mendeley":{"formattedCitation":"(Faisal et al., 2021)","manualFormatting":"Faisal et al (2021)","plainTextFormattedCitation":"(Faisal et al., 2021)","previouslyFormattedCitation":"(Faisal et al., 2021)"},"properties":{"noteIndex":0},"schema":"https://github.com/citation-style-language/schema/raw/master/csl-citation.json"}</w:instrText>
      </w:r>
      <w:r w:rsidR="00546A69" w:rsidRPr="00B14ED8">
        <w:rPr>
          <w:rFonts w:ascii="Times New Roman" w:eastAsia="Times New Roman" w:hAnsi="Times New Roman" w:cs="Times New Roman"/>
          <w:sz w:val="24"/>
          <w:szCs w:val="24"/>
        </w:rPr>
        <w:fldChar w:fldCharType="separate"/>
      </w:r>
      <w:r w:rsidR="00546A69" w:rsidRPr="00B14ED8">
        <w:rPr>
          <w:rFonts w:ascii="Times New Roman" w:eastAsia="Times New Roman" w:hAnsi="Times New Roman" w:cs="Times New Roman"/>
          <w:noProof/>
          <w:sz w:val="24"/>
          <w:szCs w:val="24"/>
        </w:rPr>
        <w:t>Faisal et al</w:t>
      </w:r>
      <w:r w:rsidR="007A3EA6" w:rsidRPr="00B14ED8">
        <w:rPr>
          <w:rFonts w:ascii="Times New Roman" w:eastAsia="Times New Roman" w:hAnsi="Times New Roman" w:cs="Times New Roman"/>
          <w:noProof/>
          <w:sz w:val="24"/>
          <w:szCs w:val="24"/>
        </w:rPr>
        <w:t xml:space="preserve"> (</w:t>
      </w:r>
      <w:r w:rsidR="00546A69" w:rsidRPr="00B14ED8">
        <w:rPr>
          <w:rFonts w:ascii="Times New Roman" w:eastAsia="Times New Roman" w:hAnsi="Times New Roman" w:cs="Times New Roman"/>
          <w:noProof/>
          <w:sz w:val="24"/>
          <w:szCs w:val="24"/>
        </w:rPr>
        <w:t>2021)</w:t>
      </w:r>
      <w:r w:rsidR="00546A69" w:rsidRPr="00B14ED8">
        <w:rPr>
          <w:rFonts w:ascii="Times New Roman" w:eastAsia="Times New Roman" w:hAnsi="Times New Roman" w:cs="Times New Roman"/>
          <w:sz w:val="24"/>
          <w:szCs w:val="24"/>
        </w:rPr>
        <w:fldChar w:fldCharType="end"/>
      </w:r>
      <w:r w:rsidR="00546A69" w:rsidRPr="00B14ED8">
        <w:rPr>
          <w:rFonts w:ascii="Times New Roman" w:eastAsia="Times New Roman" w:hAnsi="Times New Roman" w:cs="Times New Roman"/>
          <w:sz w:val="24"/>
          <w:szCs w:val="24"/>
        </w:rPr>
        <w:t xml:space="preserve"> </w:t>
      </w:r>
      <w:proofErr w:type="spellStart"/>
      <w:r w:rsidR="00546A69" w:rsidRPr="00B14ED8">
        <w:rPr>
          <w:rFonts w:ascii="Times New Roman" w:eastAsia="Times New Roman" w:hAnsi="Times New Roman" w:cs="Times New Roman"/>
          <w:sz w:val="24"/>
          <w:szCs w:val="24"/>
        </w:rPr>
        <w:t>menyimpulkan</w:t>
      </w:r>
      <w:proofErr w:type="spellEnd"/>
      <w:r w:rsidR="00546A69" w:rsidRPr="00B14ED8">
        <w:rPr>
          <w:rFonts w:ascii="Times New Roman" w:eastAsia="Times New Roman" w:hAnsi="Times New Roman" w:cs="Times New Roman"/>
          <w:sz w:val="24"/>
          <w:szCs w:val="24"/>
        </w:rPr>
        <w:t xml:space="preserve"> </w:t>
      </w:r>
      <w:proofErr w:type="spellStart"/>
      <w:r w:rsidR="00546A69" w:rsidRPr="00B14ED8">
        <w:rPr>
          <w:rFonts w:ascii="Times New Roman" w:eastAsia="Times New Roman" w:hAnsi="Times New Roman" w:cs="Times New Roman"/>
          <w:sz w:val="24"/>
          <w:szCs w:val="24"/>
        </w:rPr>
        <w:t>bahwa</w:t>
      </w:r>
      <w:proofErr w:type="spellEnd"/>
      <w:r w:rsidR="00546A69" w:rsidRPr="00B14ED8">
        <w:rPr>
          <w:rFonts w:ascii="Times New Roman" w:eastAsia="Times New Roman" w:hAnsi="Times New Roman" w:cs="Times New Roman"/>
          <w:sz w:val="24"/>
          <w:szCs w:val="24"/>
        </w:rPr>
        <w:t xml:space="preserve"> </w:t>
      </w:r>
      <w:proofErr w:type="spellStart"/>
      <w:r w:rsidR="00546A69" w:rsidRPr="00B14ED8">
        <w:rPr>
          <w:rFonts w:ascii="Times New Roman" w:eastAsia="Times New Roman" w:hAnsi="Times New Roman" w:cs="Times New Roman"/>
          <w:sz w:val="24"/>
          <w:szCs w:val="24"/>
        </w:rPr>
        <w:t>pembiayaan</w:t>
      </w:r>
      <w:proofErr w:type="spellEnd"/>
      <w:r w:rsidR="00546A69" w:rsidRPr="00B14ED8">
        <w:rPr>
          <w:rFonts w:ascii="Times New Roman" w:eastAsia="Times New Roman" w:hAnsi="Times New Roman" w:cs="Times New Roman"/>
          <w:sz w:val="24"/>
          <w:szCs w:val="24"/>
        </w:rPr>
        <w:t xml:space="preserve"> </w:t>
      </w:r>
      <w:proofErr w:type="spellStart"/>
      <w:r w:rsidR="00546A69" w:rsidRPr="00B14ED8">
        <w:rPr>
          <w:rFonts w:ascii="Times New Roman" w:eastAsia="Times New Roman" w:hAnsi="Times New Roman" w:cs="Times New Roman"/>
          <w:i/>
          <w:iCs/>
          <w:sz w:val="24"/>
          <w:szCs w:val="24"/>
        </w:rPr>
        <w:t>musyarakah</w:t>
      </w:r>
      <w:proofErr w:type="spellEnd"/>
      <w:r w:rsidR="00546A69" w:rsidRPr="00B14ED8">
        <w:rPr>
          <w:rFonts w:ascii="Times New Roman" w:eastAsia="Times New Roman" w:hAnsi="Times New Roman" w:cs="Times New Roman"/>
          <w:i/>
          <w:iCs/>
          <w:sz w:val="24"/>
          <w:szCs w:val="24"/>
        </w:rPr>
        <w:t xml:space="preserve"> </w:t>
      </w:r>
      <w:proofErr w:type="spellStart"/>
      <w:r w:rsidR="00546A69" w:rsidRPr="00B14ED8">
        <w:rPr>
          <w:rFonts w:ascii="Times New Roman" w:eastAsia="Times New Roman" w:hAnsi="Times New Roman" w:cs="Times New Roman"/>
          <w:sz w:val="24"/>
          <w:szCs w:val="24"/>
        </w:rPr>
        <w:t>memberikan</w:t>
      </w:r>
      <w:proofErr w:type="spellEnd"/>
      <w:r w:rsidR="00546A69" w:rsidRPr="00B14ED8">
        <w:rPr>
          <w:rFonts w:ascii="Times New Roman" w:eastAsia="Times New Roman" w:hAnsi="Times New Roman" w:cs="Times New Roman"/>
          <w:sz w:val="24"/>
          <w:szCs w:val="24"/>
        </w:rPr>
        <w:t xml:space="preserve"> </w:t>
      </w:r>
      <w:proofErr w:type="spellStart"/>
      <w:r w:rsidR="00546A69" w:rsidRPr="00B14ED8">
        <w:rPr>
          <w:rFonts w:ascii="Times New Roman" w:eastAsia="Times New Roman" w:hAnsi="Times New Roman" w:cs="Times New Roman"/>
          <w:sz w:val="24"/>
          <w:szCs w:val="24"/>
        </w:rPr>
        <w:t>dampak</w:t>
      </w:r>
      <w:proofErr w:type="spellEnd"/>
      <w:r w:rsidR="00546A69" w:rsidRPr="00B14ED8">
        <w:rPr>
          <w:rFonts w:ascii="Times New Roman" w:eastAsia="Times New Roman" w:hAnsi="Times New Roman" w:cs="Times New Roman"/>
          <w:sz w:val="24"/>
          <w:szCs w:val="24"/>
        </w:rPr>
        <w:t xml:space="preserve"> </w:t>
      </w:r>
      <w:proofErr w:type="spellStart"/>
      <w:r w:rsidR="00546A69" w:rsidRPr="00B14ED8">
        <w:rPr>
          <w:rFonts w:ascii="Times New Roman" w:eastAsia="Times New Roman" w:hAnsi="Times New Roman" w:cs="Times New Roman"/>
          <w:sz w:val="24"/>
          <w:szCs w:val="24"/>
        </w:rPr>
        <w:t>negatif</w:t>
      </w:r>
      <w:proofErr w:type="spellEnd"/>
      <w:r w:rsidR="00546A69" w:rsidRPr="00B14ED8">
        <w:rPr>
          <w:rFonts w:ascii="Times New Roman" w:eastAsia="Times New Roman" w:hAnsi="Times New Roman" w:cs="Times New Roman"/>
          <w:sz w:val="24"/>
          <w:szCs w:val="24"/>
        </w:rPr>
        <w:t xml:space="preserve"> </w:t>
      </w:r>
      <w:proofErr w:type="spellStart"/>
      <w:r w:rsidR="00546A69" w:rsidRPr="00B14ED8">
        <w:rPr>
          <w:rFonts w:ascii="Times New Roman" w:eastAsia="Times New Roman" w:hAnsi="Times New Roman" w:cs="Times New Roman"/>
          <w:sz w:val="24"/>
          <w:szCs w:val="24"/>
        </w:rPr>
        <w:t>signifikan</w:t>
      </w:r>
      <w:proofErr w:type="spellEnd"/>
      <w:r w:rsidR="00546A69" w:rsidRPr="00B14ED8">
        <w:rPr>
          <w:rFonts w:ascii="Times New Roman" w:eastAsia="Times New Roman" w:hAnsi="Times New Roman" w:cs="Times New Roman"/>
          <w:sz w:val="24"/>
          <w:szCs w:val="24"/>
        </w:rPr>
        <w:t xml:space="preserve"> </w:t>
      </w:r>
      <w:proofErr w:type="spellStart"/>
      <w:r w:rsidR="00546A69" w:rsidRPr="00B14ED8">
        <w:rPr>
          <w:rFonts w:ascii="Times New Roman" w:eastAsia="Times New Roman" w:hAnsi="Times New Roman" w:cs="Times New Roman"/>
          <w:sz w:val="24"/>
          <w:szCs w:val="24"/>
        </w:rPr>
        <w:t>terhadap</w:t>
      </w:r>
      <w:proofErr w:type="spellEnd"/>
      <w:r w:rsidR="00546A69" w:rsidRPr="00B14ED8">
        <w:rPr>
          <w:rFonts w:ascii="Times New Roman" w:eastAsia="Times New Roman" w:hAnsi="Times New Roman" w:cs="Times New Roman"/>
          <w:sz w:val="24"/>
          <w:szCs w:val="24"/>
        </w:rPr>
        <w:t xml:space="preserve"> </w:t>
      </w:r>
      <w:proofErr w:type="spellStart"/>
      <w:r w:rsidR="00546A69" w:rsidRPr="00B14ED8">
        <w:rPr>
          <w:rFonts w:ascii="Times New Roman" w:eastAsia="Times New Roman" w:hAnsi="Times New Roman" w:cs="Times New Roman"/>
          <w:sz w:val="24"/>
          <w:szCs w:val="24"/>
        </w:rPr>
        <w:t>nilai</w:t>
      </w:r>
      <w:proofErr w:type="spellEnd"/>
      <w:r w:rsidR="00546A69" w:rsidRPr="00B14ED8">
        <w:rPr>
          <w:rFonts w:ascii="Times New Roman" w:eastAsia="Times New Roman" w:hAnsi="Times New Roman" w:cs="Times New Roman"/>
          <w:sz w:val="24"/>
          <w:szCs w:val="24"/>
        </w:rPr>
        <w:t xml:space="preserve"> </w:t>
      </w:r>
      <w:proofErr w:type="spellStart"/>
      <w:r w:rsidR="00546A69" w:rsidRPr="00B14ED8">
        <w:rPr>
          <w:rFonts w:ascii="Times New Roman" w:eastAsia="Times New Roman" w:hAnsi="Times New Roman" w:cs="Times New Roman"/>
          <w:sz w:val="24"/>
          <w:szCs w:val="24"/>
        </w:rPr>
        <w:t>kinerja</w:t>
      </w:r>
      <w:proofErr w:type="spellEnd"/>
      <w:r w:rsidR="00546A69" w:rsidRPr="00B14ED8">
        <w:rPr>
          <w:rFonts w:ascii="Times New Roman" w:eastAsia="Times New Roman" w:hAnsi="Times New Roman" w:cs="Times New Roman"/>
          <w:sz w:val="24"/>
          <w:szCs w:val="24"/>
        </w:rPr>
        <w:t xml:space="preserve"> </w:t>
      </w:r>
      <w:proofErr w:type="spellStart"/>
      <w:r w:rsidR="00546A69" w:rsidRPr="00B14ED8">
        <w:rPr>
          <w:rFonts w:ascii="Times New Roman" w:eastAsia="Times New Roman" w:hAnsi="Times New Roman" w:cs="Times New Roman"/>
          <w:sz w:val="24"/>
          <w:szCs w:val="24"/>
        </w:rPr>
        <w:t>keuangan</w:t>
      </w:r>
      <w:proofErr w:type="spellEnd"/>
      <w:r w:rsidR="00546A69" w:rsidRPr="00B14ED8">
        <w:rPr>
          <w:rFonts w:ascii="Times New Roman" w:eastAsia="Times New Roman" w:hAnsi="Times New Roman" w:cs="Times New Roman"/>
          <w:sz w:val="24"/>
          <w:szCs w:val="24"/>
        </w:rPr>
        <w:t xml:space="preserve"> </w:t>
      </w:r>
      <w:proofErr w:type="spellStart"/>
      <w:r w:rsidR="00546A69" w:rsidRPr="00B14ED8">
        <w:rPr>
          <w:rFonts w:ascii="Times New Roman" w:eastAsia="Times New Roman" w:hAnsi="Times New Roman" w:cs="Times New Roman"/>
          <w:sz w:val="24"/>
          <w:szCs w:val="24"/>
        </w:rPr>
        <w:t>perbankan</w:t>
      </w:r>
      <w:proofErr w:type="spellEnd"/>
      <w:r w:rsidR="00546A69" w:rsidRPr="00B14ED8">
        <w:rPr>
          <w:rFonts w:ascii="Times New Roman" w:eastAsia="Times New Roman" w:hAnsi="Times New Roman" w:cs="Times New Roman"/>
          <w:sz w:val="24"/>
          <w:szCs w:val="24"/>
        </w:rPr>
        <w:t xml:space="preserve"> </w:t>
      </w:r>
      <w:proofErr w:type="spellStart"/>
      <w:r w:rsidR="00546A69" w:rsidRPr="00B14ED8">
        <w:rPr>
          <w:rFonts w:ascii="Times New Roman" w:eastAsia="Times New Roman" w:hAnsi="Times New Roman" w:cs="Times New Roman"/>
          <w:sz w:val="24"/>
          <w:szCs w:val="24"/>
        </w:rPr>
        <w:t>syariah</w:t>
      </w:r>
      <w:proofErr w:type="spellEnd"/>
      <w:r w:rsidR="00546A69" w:rsidRPr="00B14ED8">
        <w:rPr>
          <w:rFonts w:ascii="Times New Roman" w:eastAsia="Times New Roman" w:hAnsi="Times New Roman" w:cs="Times New Roman"/>
          <w:sz w:val="24"/>
          <w:szCs w:val="24"/>
        </w:rPr>
        <w:t>.</w:t>
      </w:r>
      <w:r w:rsidR="000934F1" w:rsidRPr="00B14ED8">
        <w:rPr>
          <w:rFonts w:ascii="Times New Roman" w:eastAsia="Times New Roman" w:hAnsi="Times New Roman" w:cs="Times New Roman"/>
          <w:sz w:val="24"/>
          <w:szCs w:val="24"/>
        </w:rPr>
        <w:t xml:space="preserve"> </w:t>
      </w:r>
      <w:proofErr w:type="spellStart"/>
      <w:r w:rsidR="00935646" w:rsidRPr="00B14ED8">
        <w:rPr>
          <w:rFonts w:ascii="Times New Roman" w:eastAsia="Times New Roman" w:hAnsi="Times New Roman" w:cs="Times New Roman"/>
          <w:sz w:val="24"/>
          <w:szCs w:val="24"/>
        </w:rPr>
        <w:t>S</w:t>
      </w:r>
      <w:r w:rsidR="003615AE" w:rsidRPr="00B14ED8">
        <w:rPr>
          <w:rFonts w:ascii="Times New Roman" w:eastAsia="Times New Roman" w:hAnsi="Times New Roman" w:cs="Times New Roman"/>
          <w:sz w:val="24"/>
          <w:szCs w:val="24"/>
        </w:rPr>
        <w:t>tudi</w:t>
      </w:r>
      <w:proofErr w:type="spellEnd"/>
      <w:r w:rsidR="00B90DF5" w:rsidRPr="00B14ED8">
        <w:rPr>
          <w:rFonts w:ascii="Times New Roman" w:eastAsia="Times New Roman" w:hAnsi="Times New Roman" w:cs="Times New Roman"/>
          <w:sz w:val="24"/>
          <w:szCs w:val="24"/>
        </w:rPr>
        <w:t xml:space="preserve"> </w:t>
      </w:r>
      <w:r w:rsidR="00B90DF5" w:rsidRPr="00B14ED8">
        <w:rPr>
          <w:rFonts w:ascii="Times New Roman" w:eastAsia="Times New Roman" w:hAnsi="Times New Roman" w:cs="Times New Roman"/>
          <w:sz w:val="24"/>
          <w:szCs w:val="24"/>
        </w:rPr>
        <w:fldChar w:fldCharType="begin" w:fldLock="1"/>
      </w:r>
      <w:r w:rsidR="0093497D" w:rsidRPr="00B14ED8">
        <w:rPr>
          <w:rFonts w:ascii="Times New Roman" w:eastAsia="Times New Roman" w:hAnsi="Times New Roman" w:cs="Times New Roman"/>
          <w:sz w:val="24"/>
          <w:szCs w:val="24"/>
        </w:rPr>
        <w:instrText>ADDIN CSL_CITATION {"citationItems":[{"id":"ITEM-1","itemData":{"DOI":"10.1108/PRR-07-2020-0022","ISSN":"23984007","abstract":"Purpose: This study aims to examine the factors that influence profit–loss sharing (PLS) financing in Indonesian Islamic banks from the perspective of Islamic banks’ employees. Islamic banks have important role in influencing the amount of PLS financing distribution through their screening process. Design/methodology/approach: This study uses questionnaires in collecting data that are distributed to the employees who process or handle PLS financing in Islamic banks in Yogyakarta, Indonesia. The independent variables are risk, financing screening process, analysis of financial statement and competency of the employees of Islamic banks. The data are processed using multiple regression. Findings: This study finds that risk, the quality of financing screening process and the analysis of financial statement have positive influence on the PLS financing, whereas competency of employees of Islamic banks does not influence PLS financing. Practical implications: The results of this study are expected to give contribution to increase the role of Islamic banks in encouraging PLS financing. The adequate screening, controlling and monitoring system in Islamic banks should be strengthened to encourage the quality of financing distributed. Originality/value: Primary data are used in this study to know the perspective of Islamic bank employees in the financing division on the PLS financing. This study attempts to identify the perspective of employees who have direct relationship with the decision of financing in Islamic banks.","author":[{"dropping-particle":"","family":"Nugraheni","given":"Peni","non-dropping-particle":"","parse-names":false,"suffix":""},{"dropping-particle":"","family":"Alimin","given":"Istiqomah Nur","non-dropping-particle":"","parse-names":false,"suffix":""}],"container-title":"PSU Research Review","id":"ITEM-1","issue":"2","issued":{"date-parts":[["2022"]]},"page":"77-89","title":"Factors influencing PLS financing: the perspective of Indonesian Islamic banks employees","type":"article-journal","volume":"6"},"uris":["http://www.mendeley.com/documents/?uuid=1cc01dfe-b902-47ef-b515-5d1014b1184b"]}],"mendeley":{"formattedCitation":"(Nugraheni &amp; Alimin, 2022)","manualFormatting":"Nugraheni &amp; Alimin (2022)","plainTextFormattedCitation":"(Nugraheni &amp; Alimin, 2022)","previouslyFormattedCitation":"(Nugraheni &amp; Alimin, 2022)"},"properties":{"noteIndex":0},"schema":"https://github.com/citation-style-language/schema/raw/master/csl-citation.json"}</w:instrText>
      </w:r>
      <w:r w:rsidR="00B90DF5" w:rsidRPr="00B14ED8">
        <w:rPr>
          <w:rFonts w:ascii="Times New Roman" w:eastAsia="Times New Roman" w:hAnsi="Times New Roman" w:cs="Times New Roman"/>
          <w:sz w:val="24"/>
          <w:szCs w:val="24"/>
        </w:rPr>
        <w:fldChar w:fldCharType="separate"/>
      </w:r>
      <w:r w:rsidR="00B90DF5" w:rsidRPr="00B14ED8">
        <w:rPr>
          <w:rFonts w:ascii="Times New Roman" w:eastAsia="Times New Roman" w:hAnsi="Times New Roman" w:cs="Times New Roman"/>
          <w:noProof/>
          <w:sz w:val="24"/>
          <w:szCs w:val="24"/>
        </w:rPr>
        <w:t>Nugraheni &amp; Alimin (2022)</w:t>
      </w:r>
      <w:r w:rsidR="00B90DF5" w:rsidRPr="00B14ED8">
        <w:rPr>
          <w:rFonts w:ascii="Times New Roman" w:eastAsia="Times New Roman" w:hAnsi="Times New Roman" w:cs="Times New Roman"/>
          <w:sz w:val="24"/>
          <w:szCs w:val="24"/>
        </w:rPr>
        <w:fldChar w:fldCharType="end"/>
      </w:r>
      <w:r w:rsidR="00B90DF5" w:rsidRPr="00B14ED8">
        <w:rPr>
          <w:rFonts w:ascii="Times New Roman" w:eastAsia="Times New Roman" w:hAnsi="Times New Roman" w:cs="Times New Roman"/>
          <w:sz w:val="24"/>
          <w:szCs w:val="24"/>
        </w:rPr>
        <w:t xml:space="preserve"> </w:t>
      </w:r>
      <w:proofErr w:type="spellStart"/>
      <w:r w:rsidR="00B90DF5" w:rsidRPr="00B14ED8">
        <w:rPr>
          <w:rFonts w:ascii="Times New Roman" w:eastAsia="Times New Roman" w:hAnsi="Times New Roman" w:cs="Times New Roman"/>
          <w:sz w:val="24"/>
          <w:szCs w:val="24"/>
        </w:rPr>
        <w:t>menghasilkan</w:t>
      </w:r>
      <w:proofErr w:type="spellEnd"/>
      <w:r w:rsidR="00B90DF5" w:rsidRPr="00B14ED8">
        <w:rPr>
          <w:rFonts w:ascii="Times New Roman" w:eastAsia="Times New Roman" w:hAnsi="Times New Roman" w:cs="Times New Roman"/>
          <w:sz w:val="24"/>
          <w:szCs w:val="24"/>
        </w:rPr>
        <w:t xml:space="preserve"> </w:t>
      </w:r>
      <w:proofErr w:type="spellStart"/>
      <w:r w:rsidR="00B90DF5" w:rsidRPr="00B14ED8">
        <w:rPr>
          <w:rFonts w:ascii="Times New Roman" w:eastAsia="Times New Roman" w:hAnsi="Times New Roman" w:cs="Times New Roman"/>
          <w:sz w:val="24"/>
          <w:szCs w:val="24"/>
        </w:rPr>
        <w:t>kesimpulan</w:t>
      </w:r>
      <w:proofErr w:type="spellEnd"/>
      <w:r w:rsidR="00B90DF5" w:rsidRPr="00B14ED8">
        <w:rPr>
          <w:rFonts w:ascii="Times New Roman" w:eastAsia="Times New Roman" w:hAnsi="Times New Roman" w:cs="Times New Roman"/>
          <w:sz w:val="24"/>
          <w:szCs w:val="24"/>
        </w:rPr>
        <w:t xml:space="preserve"> </w:t>
      </w:r>
      <w:proofErr w:type="spellStart"/>
      <w:r w:rsidR="00B90DF5" w:rsidRPr="00B14ED8">
        <w:rPr>
          <w:rFonts w:ascii="Times New Roman" w:eastAsia="Times New Roman" w:hAnsi="Times New Roman" w:cs="Times New Roman"/>
          <w:sz w:val="24"/>
          <w:szCs w:val="24"/>
        </w:rPr>
        <w:t>penting</w:t>
      </w:r>
      <w:proofErr w:type="spellEnd"/>
      <w:r w:rsidR="00B90DF5" w:rsidRPr="00B14ED8">
        <w:rPr>
          <w:rFonts w:ascii="Times New Roman" w:eastAsia="Times New Roman" w:hAnsi="Times New Roman" w:cs="Times New Roman"/>
          <w:sz w:val="24"/>
          <w:szCs w:val="24"/>
        </w:rPr>
        <w:t xml:space="preserve"> </w:t>
      </w:r>
      <w:proofErr w:type="spellStart"/>
      <w:r w:rsidR="00B90DF5" w:rsidRPr="00B14ED8">
        <w:rPr>
          <w:rFonts w:ascii="Times New Roman" w:eastAsia="Times New Roman" w:hAnsi="Times New Roman" w:cs="Times New Roman"/>
          <w:sz w:val="24"/>
          <w:szCs w:val="24"/>
        </w:rPr>
        <w:t>bahwa</w:t>
      </w:r>
      <w:proofErr w:type="spellEnd"/>
      <w:r w:rsidR="00B90DF5" w:rsidRPr="00B14ED8">
        <w:rPr>
          <w:rFonts w:ascii="Times New Roman" w:eastAsia="Times New Roman" w:hAnsi="Times New Roman" w:cs="Times New Roman"/>
          <w:sz w:val="24"/>
          <w:szCs w:val="24"/>
        </w:rPr>
        <w:t xml:space="preserve"> </w:t>
      </w:r>
      <w:proofErr w:type="spellStart"/>
      <w:r w:rsidR="00EE7299" w:rsidRPr="00B14ED8">
        <w:rPr>
          <w:rFonts w:ascii="Times New Roman" w:eastAsia="Times New Roman" w:hAnsi="Times New Roman" w:cs="Times New Roman"/>
          <w:sz w:val="24"/>
          <w:szCs w:val="24"/>
        </w:rPr>
        <w:t>penerapan</w:t>
      </w:r>
      <w:proofErr w:type="spellEnd"/>
      <w:r w:rsidR="00B90DF5" w:rsidRPr="00B14ED8">
        <w:rPr>
          <w:rFonts w:ascii="Times New Roman" w:eastAsia="Times New Roman" w:hAnsi="Times New Roman" w:cs="Times New Roman"/>
          <w:sz w:val="24"/>
          <w:szCs w:val="24"/>
        </w:rPr>
        <w:t xml:space="preserve"> </w:t>
      </w:r>
      <w:proofErr w:type="spellStart"/>
      <w:r w:rsidR="00B90DF5" w:rsidRPr="00B14ED8">
        <w:rPr>
          <w:rFonts w:ascii="Times New Roman" w:eastAsia="Times New Roman" w:hAnsi="Times New Roman" w:cs="Times New Roman"/>
          <w:sz w:val="24"/>
          <w:szCs w:val="24"/>
        </w:rPr>
        <w:t>manajemen</w:t>
      </w:r>
      <w:proofErr w:type="spellEnd"/>
      <w:r w:rsidR="00B90DF5" w:rsidRPr="00B14ED8">
        <w:rPr>
          <w:rFonts w:ascii="Times New Roman" w:eastAsia="Times New Roman" w:hAnsi="Times New Roman" w:cs="Times New Roman"/>
          <w:sz w:val="24"/>
          <w:szCs w:val="24"/>
        </w:rPr>
        <w:t xml:space="preserve"> </w:t>
      </w:r>
      <w:proofErr w:type="spellStart"/>
      <w:r w:rsidR="00B90DF5" w:rsidRPr="00B14ED8">
        <w:rPr>
          <w:rFonts w:ascii="Times New Roman" w:eastAsia="Times New Roman" w:hAnsi="Times New Roman" w:cs="Times New Roman"/>
          <w:sz w:val="24"/>
          <w:szCs w:val="24"/>
        </w:rPr>
        <w:t>risiko</w:t>
      </w:r>
      <w:proofErr w:type="spellEnd"/>
      <w:r w:rsidR="00DD7EEE" w:rsidRPr="00B14ED8">
        <w:rPr>
          <w:rFonts w:ascii="Times New Roman" w:eastAsia="Times New Roman" w:hAnsi="Times New Roman" w:cs="Times New Roman"/>
          <w:sz w:val="24"/>
          <w:szCs w:val="24"/>
        </w:rPr>
        <w:t xml:space="preserve"> </w:t>
      </w:r>
      <w:proofErr w:type="spellStart"/>
      <w:r w:rsidR="00DD7EEE" w:rsidRPr="00B14ED8">
        <w:rPr>
          <w:rFonts w:ascii="Times New Roman" w:eastAsia="Times New Roman" w:hAnsi="Times New Roman" w:cs="Times New Roman"/>
          <w:sz w:val="24"/>
          <w:szCs w:val="24"/>
        </w:rPr>
        <w:t>mampu</w:t>
      </w:r>
      <w:proofErr w:type="spellEnd"/>
      <w:r w:rsidR="00DD7EEE" w:rsidRPr="00B14ED8">
        <w:rPr>
          <w:rFonts w:ascii="Times New Roman" w:eastAsia="Times New Roman" w:hAnsi="Times New Roman" w:cs="Times New Roman"/>
          <w:sz w:val="24"/>
          <w:szCs w:val="24"/>
        </w:rPr>
        <w:t xml:space="preserve"> </w:t>
      </w:r>
      <w:proofErr w:type="spellStart"/>
      <w:r w:rsidR="00DD7EEE" w:rsidRPr="00B14ED8">
        <w:rPr>
          <w:rFonts w:ascii="Times New Roman" w:eastAsia="Times New Roman" w:hAnsi="Times New Roman" w:cs="Times New Roman"/>
          <w:sz w:val="24"/>
          <w:szCs w:val="24"/>
        </w:rPr>
        <w:t>memberikan</w:t>
      </w:r>
      <w:proofErr w:type="spellEnd"/>
      <w:r w:rsidR="00DD7EEE" w:rsidRPr="00B14ED8">
        <w:rPr>
          <w:rFonts w:ascii="Times New Roman" w:eastAsia="Times New Roman" w:hAnsi="Times New Roman" w:cs="Times New Roman"/>
          <w:sz w:val="24"/>
          <w:szCs w:val="24"/>
        </w:rPr>
        <w:t xml:space="preserve"> </w:t>
      </w:r>
      <w:proofErr w:type="spellStart"/>
      <w:r w:rsidR="00DD7EEE" w:rsidRPr="00B14ED8">
        <w:rPr>
          <w:rFonts w:ascii="Times New Roman" w:eastAsia="Times New Roman" w:hAnsi="Times New Roman" w:cs="Times New Roman"/>
          <w:sz w:val="24"/>
          <w:szCs w:val="24"/>
        </w:rPr>
        <w:t>dampak</w:t>
      </w:r>
      <w:proofErr w:type="spellEnd"/>
      <w:r w:rsidR="00DD7EEE" w:rsidRPr="00B14ED8">
        <w:rPr>
          <w:rFonts w:ascii="Times New Roman" w:eastAsia="Times New Roman" w:hAnsi="Times New Roman" w:cs="Times New Roman"/>
          <w:sz w:val="24"/>
          <w:szCs w:val="24"/>
        </w:rPr>
        <w:t xml:space="preserve"> </w:t>
      </w:r>
      <w:proofErr w:type="spellStart"/>
      <w:r w:rsidR="00DD7EEE" w:rsidRPr="00B14ED8">
        <w:rPr>
          <w:rFonts w:ascii="Times New Roman" w:eastAsia="Times New Roman" w:hAnsi="Times New Roman" w:cs="Times New Roman"/>
          <w:sz w:val="24"/>
          <w:szCs w:val="24"/>
        </w:rPr>
        <w:t>positif</w:t>
      </w:r>
      <w:proofErr w:type="spellEnd"/>
      <w:r w:rsidR="00DD7EEE" w:rsidRPr="00B14ED8">
        <w:rPr>
          <w:rFonts w:ascii="Times New Roman" w:eastAsia="Times New Roman" w:hAnsi="Times New Roman" w:cs="Times New Roman"/>
          <w:sz w:val="24"/>
          <w:szCs w:val="24"/>
        </w:rPr>
        <w:t xml:space="preserve"> </w:t>
      </w:r>
      <w:proofErr w:type="spellStart"/>
      <w:r w:rsidR="00DD7EEE" w:rsidRPr="00B14ED8">
        <w:rPr>
          <w:rFonts w:ascii="Times New Roman" w:eastAsia="Times New Roman" w:hAnsi="Times New Roman" w:cs="Times New Roman"/>
          <w:sz w:val="24"/>
          <w:szCs w:val="24"/>
        </w:rPr>
        <w:t>signifikan</w:t>
      </w:r>
      <w:proofErr w:type="spellEnd"/>
      <w:r w:rsidR="00DD7EEE" w:rsidRPr="00B14ED8">
        <w:rPr>
          <w:rFonts w:ascii="Times New Roman" w:eastAsia="Times New Roman" w:hAnsi="Times New Roman" w:cs="Times New Roman"/>
          <w:sz w:val="24"/>
          <w:szCs w:val="24"/>
        </w:rPr>
        <w:t xml:space="preserve"> </w:t>
      </w:r>
      <w:proofErr w:type="spellStart"/>
      <w:r w:rsidR="00DD7EEE" w:rsidRPr="00B14ED8">
        <w:rPr>
          <w:rFonts w:ascii="Times New Roman" w:eastAsia="Times New Roman" w:hAnsi="Times New Roman" w:cs="Times New Roman"/>
          <w:sz w:val="24"/>
          <w:szCs w:val="24"/>
        </w:rPr>
        <w:lastRenderedPageBreak/>
        <w:t>terhadap</w:t>
      </w:r>
      <w:proofErr w:type="spellEnd"/>
      <w:r w:rsidR="00DD7EEE" w:rsidRPr="00B14ED8">
        <w:rPr>
          <w:rFonts w:ascii="Times New Roman" w:eastAsia="Times New Roman" w:hAnsi="Times New Roman" w:cs="Times New Roman"/>
          <w:sz w:val="24"/>
          <w:szCs w:val="24"/>
        </w:rPr>
        <w:t xml:space="preserve"> </w:t>
      </w:r>
      <w:proofErr w:type="spellStart"/>
      <w:r w:rsidR="00DD7EEE" w:rsidRPr="00B14ED8">
        <w:rPr>
          <w:rFonts w:ascii="Times New Roman" w:eastAsia="Times New Roman" w:hAnsi="Times New Roman" w:cs="Times New Roman"/>
          <w:sz w:val="24"/>
          <w:szCs w:val="24"/>
        </w:rPr>
        <w:t>realisasi</w:t>
      </w:r>
      <w:proofErr w:type="spellEnd"/>
      <w:r w:rsidR="00DD7EEE" w:rsidRPr="00B14ED8">
        <w:rPr>
          <w:rFonts w:ascii="Times New Roman" w:eastAsia="Times New Roman" w:hAnsi="Times New Roman" w:cs="Times New Roman"/>
          <w:sz w:val="24"/>
          <w:szCs w:val="24"/>
        </w:rPr>
        <w:t xml:space="preserve"> </w:t>
      </w:r>
      <w:proofErr w:type="spellStart"/>
      <w:r w:rsidR="00DD7EEE" w:rsidRPr="00B14ED8">
        <w:rPr>
          <w:rFonts w:ascii="Times New Roman" w:eastAsia="Times New Roman" w:hAnsi="Times New Roman" w:cs="Times New Roman"/>
          <w:sz w:val="24"/>
          <w:szCs w:val="24"/>
        </w:rPr>
        <w:t>dari</w:t>
      </w:r>
      <w:proofErr w:type="spellEnd"/>
      <w:r w:rsidR="00DD7EEE" w:rsidRPr="00B14ED8">
        <w:rPr>
          <w:rFonts w:ascii="Times New Roman" w:eastAsia="Times New Roman" w:hAnsi="Times New Roman" w:cs="Times New Roman"/>
          <w:sz w:val="24"/>
          <w:szCs w:val="24"/>
        </w:rPr>
        <w:t xml:space="preserve"> </w:t>
      </w:r>
      <w:proofErr w:type="spellStart"/>
      <w:r w:rsidR="00DD7EEE" w:rsidRPr="00B14ED8">
        <w:rPr>
          <w:rFonts w:ascii="Times New Roman" w:eastAsia="Times New Roman" w:hAnsi="Times New Roman" w:cs="Times New Roman"/>
          <w:sz w:val="24"/>
          <w:szCs w:val="24"/>
        </w:rPr>
        <w:t>sistem</w:t>
      </w:r>
      <w:proofErr w:type="spellEnd"/>
      <w:r w:rsidR="00DD7EEE" w:rsidRPr="00B14ED8">
        <w:rPr>
          <w:rFonts w:ascii="Times New Roman" w:eastAsia="Times New Roman" w:hAnsi="Times New Roman" w:cs="Times New Roman"/>
          <w:sz w:val="24"/>
          <w:szCs w:val="24"/>
        </w:rPr>
        <w:t xml:space="preserve"> PLS </w:t>
      </w:r>
      <w:proofErr w:type="spellStart"/>
      <w:r w:rsidR="00DD7EEE" w:rsidRPr="00B14ED8">
        <w:rPr>
          <w:rFonts w:ascii="Times New Roman" w:eastAsia="Times New Roman" w:hAnsi="Times New Roman" w:cs="Times New Roman"/>
          <w:sz w:val="24"/>
          <w:szCs w:val="24"/>
        </w:rPr>
        <w:t>perbankan</w:t>
      </w:r>
      <w:proofErr w:type="spellEnd"/>
      <w:r w:rsidR="00DD7EEE" w:rsidRPr="00B14ED8">
        <w:rPr>
          <w:rFonts w:ascii="Times New Roman" w:eastAsia="Times New Roman" w:hAnsi="Times New Roman" w:cs="Times New Roman"/>
          <w:sz w:val="24"/>
          <w:szCs w:val="24"/>
        </w:rPr>
        <w:t xml:space="preserve"> </w:t>
      </w:r>
      <w:r w:rsidR="006001B7" w:rsidRPr="00B14ED8">
        <w:rPr>
          <w:rFonts w:ascii="Times New Roman" w:eastAsia="Times New Roman" w:hAnsi="Times New Roman" w:cs="Times New Roman"/>
          <w:sz w:val="24"/>
          <w:szCs w:val="24"/>
        </w:rPr>
        <w:t xml:space="preserve">yang </w:t>
      </w:r>
      <w:proofErr w:type="spellStart"/>
      <w:r w:rsidR="006001B7" w:rsidRPr="00B14ED8">
        <w:rPr>
          <w:rFonts w:ascii="Times New Roman" w:eastAsia="Times New Roman" w:hAnsi="Times New Roman" w:cs="Times New Roman"/>
          <w:sz w:val="24"/>
          <w:szCs w:val="24"/>
        </w:rPr>
        <w:t>berpengaruh</w:t>
      </w:r>
      <w:proofErr w:type="spellEnd"/>
      <w:r w:rsidR="006001B7" w:rsidRPr="00B14ED8">
        <w:rPr>
          <w:rFonts w:ascii="Times New Roman" w:eastAsia="Times New Roman" w:hAnsi="Times New Roman" w:cs="Times New Roman"/>
          <w:sz w:val="24"/>
          <w:szCs w:val="24"/>
        </w:rPr>
        <w:t xml:space="preserve"> </w:t>
      </w:r>
      <w:proofErr w:type="spellStart"/>
      <w:r w:rsidR="006001B7" w:rsidRPr="00B14ED8">
        <w:rPr>
          <w:rFonts w:ascii="Times New Roman" w:eastAsia="Times New Roman" w:hAnsi="Times New Roman" w:cs="Times New Roman"/>
          <w:sz w:val="24"/>
          <w:szCs w:val="24"/>
        </w:rPr>
        <w:t>langsung</w:t>
      </w:r>
      <w:proofErr w:type="spellEnd"/>
      <w:r w:rsidR="006001B7" w:rsidRPr="00B14ED8">
        <w:rPr>
          <w:rFonts w:ascii="Times New Roman" w:eastAsia="Times New Roman" w:hAnsi="Times New Roman" w:cs="Times New Roman"/>
          <w:sz w:val="24"/>
          <w:szCs w:val="24"/>
        </w:rPr>
        <w:t xml:space="preserve"> pada </w:t>
      </w:r>
      <w:proofErr w:type="spellStart"/>
      <w:r w:rsidR="006001B7" w:rsidRPr="00B14ED8">
        <w:rPr>
          <w:rFonts w:ascii="Times New Roman" w:eastAsia="Times New Roman" w:hAnsi="Times New Roman" w:cs="Times New Roman"/>
          <w:sz w:val="24"/>
          <w:szCs w:val="24"/>
        </w:rPr>
        <w:t>peningkatan</w:t>
      </w:r>
      <w:proofErr w:type="spellEnd"/>
      <w:r w:rsidR="006001B7" w:rsidRPr="00B14ED8">
        <w:rPr>
          <w:rFonts w:ascii="Times New Roman" w:eastAsia="Times New Roman" w:hAnsi="Times New Roman" w:cs="Times New Roman"/>
          <w:sz w:val="24"/>
          <w:szCs w:val="24"/>
        </w:rPr>
        <w:t xml:space="preserve"> </w:t>
      </w:r>
      <w:proofErr w:type="spellStart"/>
      <w:r w:rsidR="006001B7" w:rsidRPr="00B14ED8">
        <w:rPr>
          <w:rFonts w:ascii="Times New Roman" w:eastAsia="Times New Roman" w:hAnsi="Times New Roman" w:cs="Times New Roman"/>
          <w:sz w:val="24"/>
          <w:szCs w:val="24"/>
        </w:rPr>
        <w:t>nilai</w:t>
      </w:r>
      <w:proofErr w:type="spellEnd"/>
      <w:r w:rsidR="006001B7" w:rsidRPr="00B14ED8">
        <w:rPr>
          <w:rFonts w:ascii="Times New Roman" w:eastAsia="Times New Roman" w:hAnsi="Times New Roman" w:cs="Times New Roman"/>
          <w:sz w:val="24"/>
          <w:szCs w:val="24"/>
        </w:rPr>
        <w:t xml:space="preserve"> </w:t>
      </w:r>
      <w:proofErr w:type="spellStart"/>
      <w:r w:rsidR="006001B7" w:rsidRPr="00B14ED8">
        <w:rPr>
          <w:rFonts w:ascii="Times New Roman" w:eastAsia="Times New Roman" w:hAnsi="Times New Roman" w:cs="Times New Roman"/>
          <w:sz w:val="24"/>
          <w:szCs w:val="24"/>
        </w:rPr>
        <w:t>kinerja</w:t>
      </w:r>
      <w:proofErr w:type="spellEnd"/>
      <w:r w:rsidR="006001B7" w:rsidRPr="00B14ED8">
        <w:rPr>
          <w:rFonts w:ascii="Times New Roman" w:eastAsia="Times New Roman" w:hAnsi="Times New Roman" w:cs="Times New Roman"/>
          <w:sz w:val="24"/>
          <w:szCs w:val="24"/>
        </w:rPr>
        <w:t xml:space="preserve"> </w:t>
      </w:r>
      <w:proofErr w:type="spellStart"/>
      <w:r w:rsidR="006001B7" w:rsidRPr="00B14ED8">
        <w:rPr>
          <w:rFonts w:ascii="Times New Roman" w:eastAsia="Times New Roman" w:hAnsi="Times New Roman" w:cs="Times New Roman"/>
          <w:sz w:val="24"/>
          <w:szCs w:val="24"/>
        </w:rPr>
        <w:t>keuangan</w:t>
      </w:r>
      <w:proofErr w:type="spellEnd"/>
      <w:r w:rsidR="006001B7" w:rsidRPr="00B14ED8">
        <w:rPr>
          <w:rFonts w:ascii="Times New Roman" w:eastAsia="Times New Roman" w:hAnsi="Times New Roman" w:cs="Times New Roman"/>
          <w:sz w:val="24"/>
          <w:szCs w:val="24"/>
        </w:rPr>
        <w:t xml:space="preserve"> </w:t>
      </w:r>
      <w:proofErr w:type="spellStart"/>
      <w:r w:rsidR="006001B7" w:rsidRPr="00B14ED8">
        <w:rPr>
          <w:rFonts w:ascii="Times New Roman" w:eastAsia="Times New Roman" w:hAnsi="Times New Roman" w:cs="Times New Roman"/>
          <w:sz w:val="24"/>
          <w:szCs w:val="24"/>
        </w:rPr>
        <w:t>perbankan</w:t>
      </w:r>
      <w:proofErr w:type="spellEnd"/>
      <w:r w:rsidR="00675130" w:rsidRPr="00B14ED8">
        <w:rPr>
          <w:rFonts w:ascii="Times New Roman" w:eastAsia="Times New Roman" w:hAnsi="Times New Roman" w:cs="Times New Roman"/>
          <w:sz w:val="24"/>
          <w:szCs w:val="24"/>
        </w:rPr>
        <w:t xml:space="preserve"> </w:t>
      </w:r>
      <w:proofErr w:type="spellStart"/>
      <w:r w:rsidR="00675130" w:rsidRPr="00B14ED8">
        <w:rPr>
          <w:rFonts w:ascii="Times New Roman" w:eastAsia="Times New Roman" w:hAnsi="Times New Roman" w:cs="Times New Roman"/>
          <w:sz w:val="24"/>
          <w:szCs w:val="24"/>
        </w:rPr>
        <w:t>syariah</w:t>
      </w:r>
      <w:proofErr w:type="spellEnd"/>
      <w:r w:rsidR="006001B7" w:rsidRPr="00B14ED8">
        <w:rPr>
          <w:rFonts w:ascii="Times New Roman" w:eastAsia="Times New Roman" w:hAnsi="Times New Roman" w:cs="Times New Roman"/>
          <w:sz w:val="24"/>
          <w:szCs w:val="24"/>
        </w:rPr>
        <w:t>.</w:t>
      </w:r>
    </w:p>
    <w:p w14:paraId="4B713315" w14:textId="2F4AE935" w:rsidR="009C0AC4" w:rsidRPr="00B14ED8" w:rsidRDefault="00D84032" w:rsidP="00B14ED8">
      <w:pPr>
        <w:spacing w:after="0" w:line="360" w:lineRule="auto"/>
        <w:ind w:firstLine="567"/>
        <w:jc w:val="both"/>
        <w:rPr>
          <w:rFonts w:ascii="Times New Roman" w:eastAsia="Times New Roman" w:hAnsi="Times New Roman" w:cs="Times New Roman"/>
          <w:sz w:val="24"/>
          <w:szCs w:val="24"/>
        </w:rPr>
      </w:pPr>
      <w:proofErr w:type="spellStart"/>
      <w:r w:rsidRPr="00B14ED8">
        <w:rPr>
          <w:rFonts w:ascii="Times New Roman" w:eastAsia="Times New Roman" w:hAnsi="Times New Roman" w:cs="Times New Roman"/>
          <w:sz w:val="24"/>
          <w:szCs w:val="24"/>
        </w:rPr>
        <w:t>Berbasis</w:t>
      </w:r>
      <w:proofErr w:type="spellEnd"/>
      <w:r w:rsidRPr="00B14ED8">
        <w:rPr>
          <w:rFonts w:ascii="Times New Roman" w:eastAsia="Times New Roman" w:hAnsi="Times New Roman" w:cs="Times New Roman"/>
          <w:sz w:val="24"/>
          <w:szCs w:val="24"/>
        </w:rPr>
        <w:t xml:space="preserve"> pada </w:t>
      </w:r>
      <w:proofErr w:type="spellStart"/>
      <w:r w:rsidRPr="00B14ED8">
        <w:rPr>
          <w:rFonts w:ascii="Times New Roman" w:eastAsia="Times New Roman" w:hAnsi="Times New Roman" w:cs="Times New Roman"/>
          <w:sz w:val="24"/>
          <w:szCs w:val="24"/>
        </w:rPr>
        <w:t>kontradiksi</w:t>
      </w:r>
      <w:proofErr w:type="spellEnd"/>
      <w:r w:rsidRPr="00B14ED8">
        <w:rPr>
          <w:rFonts w:ascii="Times New Roman" w:eastAsia="Times New Roman" w:hAnsi="Times New Roman" w:cs="Times New Roman"/>
          <w:sz w:val="24"/>
          <w:szCs w:val="24"/>
        </w:rPr>
        <w:t xml:space="preserve"> </w:t>
      </w:r>
      <w:r w:rsidR="00645859" w:rsidRPr="00B14ED8">
        <w:rPr>
          <w:rFonts w:ascii="Times New Roman" w:eastAsia="Times New Roman" w:hAnsi="Times New Roman" w:cs="Times New Roman"/>
          <w:sz w:val="24"/>
          <w:szCs w:val="24"/>
        </w:rPr>
        <w:t xml:space="preserve">data </w:t>
      </w:r>
      <w:proofErr w:type="spellStart"/>
      <w:r w:rsidRPr="00B14ED8">
        <w:rPr>
          <w:rFonts w:ascii="Times New Roman" w:eastAsia="Times New Roman" w:hAnsi="Times New Roman" w:cs="Times New Roman"/>
          <w:sz w:val="24"/>
          <w:szCs w:val="24"/>
        </w:rPr>
        <w:t>antara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nilai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pembiayaan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i/>
          <w:iCs/>
          <w:sz w:val="24"/>
          <w:szCs w:val="24"/>
        </w:rPr>
        <w:t>mudharabah</w:t>
      </w:r>
      <w:proofErr w:type="spellEnd"/>
      <w:r w:rsidRPr="00B14ED8">
        <w:rPr>
          <w:rFonts w:ascii="Times New Roman" w:eastAsia="Times New Roman" w:hAnsi="Times New Roman" w:cs="Times New Roman"/>
          <w:i/>
          <w:iCs/>
          <w:sz w:val="24"/>
          <w:szCs w:val="24"/>
        </w:rPr>
        <w:t xml:space="preserve"> </w:t>
      </w:r>
      <w:r w:rsidRPr="00B14ED8">
        <w:rPr>
          <w:rFonts w:ascii="Times New Roman" w:eastAsia="Times New Roman" w:hAnsi="Times New Roman" w:cs="Times New Roman"/>
          <w:sz w:val="24"/>
          <w:szCs w:val="24"/>
        </w:rPr>
        <w:t xml:space="preserve">dan </w:t>
      </w:r>
      <w:proofErr w:type="spellStart"/>
      <w:r w:rsidRPr="00B14ED8">
        <w:rPr>
          <w:rFonts w:ascii="Times New Roman" w:eastAsia="Times New Roman" w:hAnsi="Times New Roman" w:cs="Times New Roman"/>
          <w:sz w:val="24"/>
          <w:szCs w:val="24"/>
        </w:rPr>
        <w:t>pembiayaan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i/>
          <w:iCs/>
          <w:sz w:val="24"/>
          <w:szCs w:val="24"/>
        </w:rPr>
        <w:t>musyarakah</w:t>
      </w:r>
      <w:proofErr w:type="spellEnd"/>
      <w:r w:rsidR="001D10AF" w:rsidRPr="00B14ED8">
        <w:rPr>
          <w:rFonts w:ascii="Times New Roman" w:eastAsia="Times New Roman" w:hAnsi="Times New Roman" w:cs="Times New Roman"/>
          <w:sz w:val="24"/>
          <w:szCs w:val="24"/>
        </w:rPr>
        <w:t xml:space="preserve">, </w:t>
      </w:r>
      <w:proofErr w:type="spellStart"/>
      <w:r w:rsidR="0071568F" w:rsidRPr="00B14ED8">
        <w:rPr>
          <w:rFonts w:ascii="Times New Roman" w:eastAsia="Times New Roman" w:hAnsi="Times New Roman" w:cs="Times New Roman"/>
          <w:sz w:val="24"/>
          <w:szCs w:val="24"/>
        </w:rPr>
        <w:t>adanya</w:t>
      </w:r>
      <w:proofErr w:type="spellEnd"/>
      <w:r w:rsidR="0071568F" w:rsidRPr="00B14ED8">
        <w:rPr>
          <w:rFonts w:ascii="Times New Roman" w:eastAsia="Times New Roman" w:hAnsi="Times New Roman" w:cs="Times New Roman"/>
          <w:sz w:val="24"/>
          <w:szCs w:val="24"/>
        </w:rPr>
        <w:t xml:space="preserve"> </w:t>
      </w:r>
      <w:proofErr w:type="spellStart"/>
      <w:r w:rsidR="0071568F" w:rsidRPr="00B14ED8">
        <w:rPr>
          <w:rFonts w:ascii="Times New Roman" w:eastAsia="Times New Roman" w:hAnsi="Times New Roman" w:cs="Times New Roman"/>
          <w:sz w:val="24"/>
          <w:szCs w:val="24"/>
        </w:rPr>
        <w:t>riset</w:t>
      </w:r>
      <w:proofErr w:type="spellEnd"/>
      <w:r w:rsidR="0071568F" w:rsidRPr="00B14ED8">
        <w:rPr>
          <w:rFonts w:ascii="Times New Roman" w:eastAsia="Times New Roman" w:hAnsi="Times New Roman" w:cs="Times New Roman"/>
          <w:sz w:val="24"/>
          <w:szCs w:val="24"/>
        </w:rPr>
        <w:t xml:space="preserve"> gap pada </w:t>
      </w:r>
      <w:proofErr w:type="spellStart"/>
      <w:r w:rsidR="0071568F" w:rsidRPr="00B14ED8">
        <w:rPr>
          <w:rFonts w:ascii="Times New Roman" w:eastAsia="Times New Roman" w:hAnsi="Times New Roman" w:cs="Times New Roman"/>
          <w:sz w:val="24"/>
          <w:szCs w:val="24"/>
        </w:rPr>
        <w:t>penelitian</w:t>
      </w:r>
      <w:proofErr w:type="spellEnd"/>
      <w:r w:rsidR="0071568F" w:rsidRPr="00B14ED8">
        <w:rPr>
          <w:rFonts w:ascii="Times New Roman" w:eastAsia="Times New Roman" w:hAnsi="Times New Roman" w:cs="Times New Roman"/>
          <w:sz w:val="24"/>
          <w:szCs w:val="24"/>
        </w:rPr>
        <w:t xml:space="preserve"> </w:t>
      </w:r>
      <w:proofErr w:type="spellStart"/>
      <w:r w:rsidR="0071568F" w:rsidRPr="00B14ED8">
        <w:rPr>
          <w:rFonts w:ascii="Times New Roman" w:eastAsia="Times New Roman" w:hAnsi="Times New Roman" w:cs="Times New Roman"/>
          <w:sz w:val="24"/>
          <w:szCs w:val="24"/>
        </w:rPr>
        <w:t>terdahulu</w:t>
      </w:r>
      <w:proofErr w:type="spellEnd"/>
      <w:r w:rsidR="0071568F" w:rsidRPr="00B14ED8">
        <w:rPr>
          <w:rFonts w:ascii="Times New Roman" w:eastAsia="Times New Roman" w:hAnsi="Times New Roman" w:cs="Times New Roman"/>
          <w:sz w:val="24"/>
          <w:szCs w:val="24"/>
        </w:rPr>
        <w:t xml:space="preserve">, </w:t>
      </w:r>
      <w:proofErr w:type="spellStart"/>
      <w:r w:rsidR="001D10AF" w:rsidRPr="00B14ED8">
        <w:rPr>
          <w:rFonts w:ascii="Times New Roman" w:eastAsia="Times New Roman" w:hAnsi="Times New Roman" w:cs="Times New Roman"/>
          <w:sz w:val="24"/>
          <w:szCs w:val="24"/>
        </w:rPr>
        <w:t>kemudian</w:t>
      </w:r>
      <w:proofErr w:type="spellEnd"/>
      <w:r w:rsidR="00FC6AB6" w:rsidRPr="00B14ED8">
        <w:rPr>
          <w:rFonts w:ascii="Times New Roman" w:eastAsia="Times New Roman" w:hAnsi="Times New Roman" w:cs="Times New Roman"/>
          <w:sz w:val="24"/>
          <w:szCs w:val="24"/>
        </w:rPr>
        <w:t xml:space="preserve"> </w:t>
      </w:r>
      <w:proofErr w:type="spellStart"/>
      <w:r w:rsidR="00FC6AB6" w:rsidRPr="00B14ED8">
        <w:rPr>
          <w:rFonts w:ascii="Times New Roman" w:eastAsia="Times New Roman" w:hAnsi="Times New Roman" w:cs="Times New Roman"/>
          <w:sz w:val="24"/>
          <w:szCs w:val="24"/>
        </w:rPr>
        <w:t>fenomena</w:t>
      </w:r>
      <w:proofErr w:type="spellEnd"/>
      <w:r w:rsidR="00FC6AB6" w:rsidRPr="00B14ED8">
        <w:rPr>
          <w:rFonts w:ascii="Times New Roman" w:eastAsia="Times New Roman" w:hAnsi="Times New Roman" w:cs="Times New Roman"/>
          <w:sz w:val="24"/>
          <w:szCs w:val="24"/>
        </w:rPr>
        <w:t xml:space="preserve"> </w:t>
      </w:r>
      <w:proofErr w:type="spellStart"/>
      <w:r w:rsidR="00FC6AB6" w:rsidRPr="00B14ED8">
        <w:rPr>
          <w:rFonts w:ascii="Times New Roman" w:eastAsia="Times New Roman" w:hAnsi="Times New Roman" w:cs="Times New Roman"/>
          <w:sz w:val="24"/>
          <w:szCs w:val="24"/>
        </w:rPr>
        <w:t>lapangan</w:t>
      </w:r>
      <w:proofErr w:type="spellEnd"/>
      <w:r w:rsidR="00FC6AB6" w:rsidRPr="00B14ED8">
        <w:rPr>
          <w:rFonts w:ascii="Times New Roman" w:eastAsia="Times New Roman" w:hAnsi="Times New Roman" w:cs="Times New Roman"/>
          <w:sz w:val="24"/>
          <w:szCs w:val="24"/>
        </w:rPr>
        <w:t xml:space="preserve"> </w:t>
      </w:r>
      <w:proofErr w:type="spellStart"/>
      <w:r w:rsidR="00FC6AB6" w:rsidRPr="00B14ED8">
        <w:rPr>
          <w:rFonts w:ascii="Times New Roman" w:eastAsia="Times New Roman" w:hAnsi="Times New Roman" w:cs="Times New Roman"/>
          <w:sz w:val="24"/>
          <w:szCs w:val="24"/>
        </w:rPr>
        <w:t>dimana</w:t>
      </w:r>
      <w:proofErr w:type="spellEnd"/>
      <w:r w:rsidR="001D10AF" w:rsidRPr="00B14ED8">
        <w:rPr>
          <w:rFonts w:ascii="Times New Roman" w:eastAsia="Times New Roman" w:hAnsi="Times New Roman" w:cs="Times New Roman"/>
          <w:sz w:val="24"/>
          <w:szCs w:val="24"/>
        </w:rPr>
        <w:t xml:space="preserve"> </w:t>
      </w:r>
      <w:proofErr w:type="spellStart"/>
      <w:r w:rsidR="001D10AF" w:rsidRPr="00B14ED8">
        <w:rPr>
          <w:rFonts w:ascii="Times New Roman" w:eastAsia="Times New Roman" w:hAnsi="Times New Roman" w:cs="Times New Roman"/>
          <w:sz w:val="24"/>
          <w:szCs w:val="24"/>
        </w:rPr>
        <w:t>nilai</w:t>
      </w:r>
      <w:proofErr w:type="spellEnd"/>
      <w:r w:rsidR="001D10AF" w:rsidRPr="00B14ED8">
        <w:rPr>
          <w:rFonts w:ascii="Times New Roman" w:eastAsia="Times New Roman" w:hAnsi="Times New Roman" w:cs="Times New Roman"/>
          <w:sz w:val="24"/>
          <w:szCs w:val="24"/>
        </w:rPr>
        <w:t xml:space="preserve"> </w:t>
      </w:r>
      <w:proofErr w:type="spellStart"/>
      <w:r w:rsidR="001D10AF" w:rsidRPr="00B14ED8">
        <w:rPr>
          <w:rFonts w:ascii="Times New Roman" w:eastAsia="Times New Roman" w:hAnsi="Times New Roman" w:cs="Times New Roman"/>
          <w:sz w:val="24"/>
          <w:szCs w:val="24"/>
        </w:rPr>
        <w:t>kinerja</w:t>
      </w:r>
      <w:proofErr w:type="spellEnd"/>
      <w:r w:rsidR="001D10AF" w:rsidRPr="00B14ED8">
        <w:rPr>
          <w:rFonts w:ascii="Times New Roman" w:eastAsia="Times New Roman" w:hAnsi="Times New Roman" w:cs="Times New Roman"/>
          <w:sz w:val="24"/>
          <w:szCs w:val="24"/>
        </w:rPr>
        <w:t xml:space="preserve"> </w:t>
      </w:r>
      <w:proofErr w:type="spellStart"/>
      <w:r w:rsidR="001D10AF" w:rsidRPr="00B14ED8">
        <w:rPr>
          <w:rFonts w:ascii="Times New Roman" w:eastAsia="Times New Roman" w:hAnsi="Times New Roman" w:cs="Times New Roman"/>
          <w:sz w:val="24"/>
          <w:szCs w:val="24"/>
        </w:rPr>
        <w:t>keuangan</w:t>
      </w:r>
      <w:proofErr w:type="spellEnd"/>
      <w:r w:rsidR="001D10AF" w:rsidRPr="00B14ED8">
        <w:rPr>
          <w:rFonts w:ascii="Times New Roman" w:eastAsia="Times New Roman" w:hAnsi="Times New Roman" w:cs="Times New Roman"/>
          <w:sz w:val="24"/>
          <w:szCs w:val="24"/>
        </w:rPr>
        <w:t xml:space="preserve"> </w:t>
      </w:r>
      <w:proofErr w:type="spellStart"/>
      <w:r w:rsidR="001D10AF" w:rsidRPr="00B14ED8">
        <w:rPr>
          <w:rFonts w:ascii="Times New Roman" w:eastAsia="Times New Roman" w:hAnsi="Times New Roman" w:cs="Times New Roman"/>
          <w:sz w:val="24"/>
          <w:szCs w:val="24"/>
        </w:rPr>
        <w:t>perbankan</w:t>
      </w:r>
      <w:proofErr w:type="spellEnd"/>
      <w:r w:rsidR="001D10AF" w:rsidRPr="00B14ED8">
        <w:rPr>
          <w:rFonts w:ascii="Times New Roman" w:eastAsia="Times New Roman" w:hAnsi="Times New Roman" w:cs="Times New Roman"/>
          <w:sz w:val="24"/>
          <w:szCs w:val="24"/>
        </w:rPr>
        <w:t xml:space="preserve"> </w:t>
      </w:r>
      <w:proofErr w:type="spellStart"/>
      <w:r w:rsidR="001D10AF" w:rsidRPr="00B14ED8">
        <w:rPr>
          <w:rFonts w:ascii="Times New Roman" w:eastAsia="Times New Roman" w:hAnsi="Times New Roman" w:cs="Times New Roman"/>
          <w:sz w:val="24"/>
          <w:szCs w:val="24"/>
        </w:rPr>
        <w:t>syariah</w:t>
      </w:r>
      <w:proofErr w:type="spellEnd"/>
      <w:r w:rsidR="001D10AF" w:rsidRPr="00B14ED8">
        <w:rPr>
          <w:rFonts w:ascii="Times New Roman" w:eastAsia="Times New Roman" w:hAnsi="Times New Roman" w:cs="Times New Roman"/>
          <w:sz w:val="24"/>
          <w:szCs w:val="24"/>
        </w:rPr>
        <w:t xml:space="preserve"> </w:t>
      </w:r>
      <w:proofErr w:type="spellStart"/>
      <w:r w:rsidR="00464C2F" w:rsidRPr="00B14ED8">
        <w:rPr>
          <w:rFonts w:ascii="Times New Roman" w:eastAsia="Times New Roman" w:hAnsi="Times New Roman" w:cs="Times New Roman"/>
          <w:sz w:val="24"/>
          <w:szCs w:val="24"/>
        </w:rPr>
        <w:t>terbukti</w:t>
      </w:r>
      <w:proofErr w:type="spellEnd"/>
      <w:r w:rsidR="001D10AF" w:rsidRPr="00B14ED8">
        <w:rPr>
          <w:rFonts w:ascii="Times New Roman" w:eastAsia="Times New Roman" w:hAnsi="Times New Roman" w:cs="Times New Roman"/>
          <w:sz w:val="24"/>
          <w:szCs w:val="24"/>
        </w:rPr>
        <w:t xml:space="preserve"> </w:t>
      </w:r>
      <w:proofErr w:type="spellStart"/>
      <w:r w:rsidR="001D10AF" w:rsidRPr="00B14ED8">
        <w:rPr>
          <w:rFonts w:ascii="Times New Roman" w:eastAsia="Times New Roman" w:hAnsi="Times New Roman" w:cs="Times New Roman"/>
          <w:sz w:val="24"/>
          <w:szCs w:val="24"/>
        </w:rPr>
        <w:t>tidak</w:t>
      </w:r>
      <w:proofErr w:type="spellEnd"/>
      <w:r w:rsidR="001D10AF" w:rsidRPr="00B14ED8">
        <w:rPr>
          <w:rFonts w:ascii="Times New Roman" w:eastAsia="Times New Roman" w:hAnsi="Times New Roman" w:cs="Times New Roman"/>
          <w:sz w:val="24"/>
          <w:szCs w:val="24"/>
        </w:rPr>
        <w:t xml:space="preserve"> </w:t>
      </w:r>
      <w:proofErr w:type="spellStart"/>
      <w:r w:rsidR="001D10AF" w:rsidRPr="00B14ED8">
        <w:rPr>
          <w:rFonts w:ascii="Times New Roman" w:eastAsia="Times New Roman" w:hAnsi="Times New Roman" w:cs="Times New Roman"/>
          <w:sz w:val="24"/>
          <w:szCs w:val="24"/>
        </w:rPr>
        <w:t>mampu</w:t>
      </w:r>
      <w:proofErr w:type="spellEnd"/>
      <w:r w:rsidR="001D10AF" w:rsidRPr="00B14ED8">
        <w:rPr>
          <w:rFonts w:ascii="Times New Roman" w:eastAsia="Times New Roman" w:hAnsi="Times New Roman" w:cs="Times New Roman"/>
          <w:sz w:val="24"/>
          <w:szCs w:val="24"/>
        </w:rPr>
        <w:t xml:space="preserve"> </w:t>
      </w:r>
      <w:proofErr w:type="spellStart"/>
      <w:r w:rsidR="001D10AF" w:rsidRPr="00B14ED8">
        <w:rPr>
          <w:rFonts w:ascii="Times New Roman" w:eastAsia="Times New Roman" w:hAnsi="Times New Roman" w:cs="Times New Roman"/>
          <w:sz w:val="24"/>
          <w:szCs w:val="24"/>
        </w:rPr>
        <w:t>mengalami</w:t>
      </w:r>
      <w:proofErr w:type="spellEnd"/>
      <w:r w:rsidR="001D10AF" w:rsidRPr="00B14ED8">
        <w:rPr>
          <w:rFonts w:ascii="Times New Roman" w:eastAsia="Times New Roman" w:hAnsi="Times New Roman" w:cs="Times New Roman"/>
          <w:sz w:val="24"/>
          <w:szCs w:val="24"/>
        </w:rPr>
        <w:t xml:space="preserve"> </w:t>
      </w:r>
      <w:proofErr w:type="spellStart"/>
      <w:r w:rsidR="001D10AF" w:rsidRPr="00B14ED8">
        <w:rPr>
          <w:rFonts w:ascii="Times New Roman" w:eastAsia="Times New Roman" w:hAnsi="Times New Roman" w:cs="Times New Roman"/>
          <w:sz w:val="24"/>
          <w:szCs w:val="24"/>
        </w:rPr>
        <w:t>kenaikan</w:t>
      </w:r>
      <w:proofErr w:type="spellEnd"/>
      <w:r w:rsidR="001D10AF" w:rsidRPr="00B14ED8">
        <w:rPr>
          <w:rFonts w:ascii="Times New Roman" w:eastAsia="Times New Roman" w:hAnsi="Times New Roman" w:cs="Times New Roman"/>
          <w:sz w:val="24"/>
          <w:szCs w:val="24"/>
        </w:rPr>
        <w:t xml:space="preserve"> </w:t>
      </w:r>
      <w:proofErr w:type="spellStart"/>
      <w:r w:rsidR="001D10AF" w:rsidRPr="00B14ED8">
        <w:rPr>
          <w:rFonts w:ascii="Times New Roman" w:eastAsia="Times New Roman" w:hAnsi="Times New Roman" w:cs="Times New Roman"/>
          <w:sz w:val="24"/>
          <w:szCs w:val="24"/>
        </w:rPr>
        <w:t>secara</w:t>
      </w:r>
      <w:proofErr w:type="spellEnd"/>
      <w:r w:rsidR="001D10AF" w:rsidRPr="00B14ED8">
        <w:rPr>
          <w:rFonts w:ascii="Times New Roman" w:eastAsia="Times New Roman" w:hAnsi="Times New Roman" w:cs="Times New Roman"/>
          <w:sz w:val="24"/>
          <w:szCs w:val="24"/>
        </w:rPr>
        <w:t xml:space="preserve"> </w:t>
      </w:r>
      <w:proofErr w:type="spellStart"/>
      <w:r w:rsidR="001D10AF" w:rsidRPr="00B14ED8">
        <w:rPr>
          <w:rFonts w:ascii="Times New Roman" w:eastAsia="Times New Roman" w:hAnsi="Times New Roman" w:cs="Times New Roman"/>
          <w:sz w:val="24"/>
          <w:szCs w:val="24"/>
        </w:rPr>
        <w:t>terus</w:t>
      </w:r>
      <w:proofErr w:type="spellEnd"/>
      <w:r w:rsidR="001D10AF" w:rsidRPr="00B14ED8">
        <w:rPr>
          <w:rFonts w:ascii="Times New Roman" w:eastAsia="Times New Roman" w:hAnsi="Times New Roman" w:cs="Times New Roman"/>
          <w:sz w:val="24"/>
          <w:szCs w:val="24"/>
        </w:rPr>
        <w:t xml:space="preserve"> </w:t>
      </w:r>
      <w:proofErr w:type="spellStart"/>
      <w:r w:rsidR="001D10AF" w:rsidRPr="00B14ED8">
        <w:rPr>
          <w:rFonts w:ascii="Times New Roman" w:eastAsia="Times New Roman" w:hAnsi="Times New Roman" w:cs="Times New Roman"/>
          <w:sz w:val="24"/>
          <w:szCs w:val="24"/>
        </w:rPr>
        <w:t>meneru</w:t>
      </w:r>
      <w:r w:rsidR="00F7351F" w:rsidRPr="00B14ED8">
        <w:rPr>
          <w:rFonts w:ascii="Times New Roman" w:eastAsia="Times New Roman" w:hAnsi="Times New Roman" w:cs="Times New Roman"/>
          <w:sz w:val="24"/>
          <w:szCs w:val="24"/>
        </w:rPr>
        <w:t>s</w:t>
      </w:r>
      <w:proofErr w:type="spellEnd"/>
      <w:r w:rsidR="00F7351F" w:rsidRPr="00B14ED8">
        <w:rPr>
          <w:rFonts w:ascii="Times New Roman" w:eastAsia="Times New Roman" w:hAnsi="Times New Roman" w:cs="Times New Roman"/>
          <w:sz w:val="24"/>
          <w:szCs w:val="24"/>
        </w:rPr>
        <w:t xml:space="preserve"> </w:t>
      </w:r>
      <w:proofErr w:type="spellStart"/>
      <w:r w:rsidR="00F7351F" w:rsidRPr="00B14ED8">
        <w:rPr>
          <w:rFonts w:ascii="Times New Roman" w:eastAsia="Times New Roman" w:hAnsi="Times New Roman" w:cs="Times New Roman"/>
          <w:sz w:val="24"/>
          <w:szCs w:val="24"/>
        </w:rPr>
        <w:t>selama</w:t>
      </w:r>
      <w:proofErr w:type="spellEnd"/>
      <w:r w:rsidR="00F7351F" w:rsidRPr="00B14ED8">
        <w:rPr>
          <w:rFonts w:ascii="Times New Roman" w:eastAsia="Times New Roman" w:hAnsi="Times New Roman" w:cs="Times New Roman"/>
          <w:sz w:val="24"/>
          <w:szCs w:val="24"/>
        </w:rPr>
        <w:t xml:space="preserve"> 7 </w:t>
      </w:r>
      <w:proofErr w:type="spellStart"/>
      <w:r w:rsidR="00F7351F" w:rsidRPr="00B14ED8">
        <w:rPr>
          <w:rFonts w:ascii="Times New Roman" w:eastAsia="Times New Roman" w:hAnsi="Times New Roman" w:cs="Times New Roman"/>
          <w:sz w:val="24"/>
          <w:szCs w:val="24"/>
        </w:rPr>
        <w:t>tahun</w:t>
      </w:r>
      <w:proofErr w:type="spellEnd"/>
      <w:r w:rsidR="00F7351F" w:rsidRPr="00B14ED8">
        <w:rPr>
          <w:rFonts w:ascii="Times New Roman" w:eastAsia="Times New Roman" w:hAnsi="Times New Roman" w:cs="Times New Roman"/>
          <w:sz w:val="24"/>
          <w:szCs w:val="24"/>
        </w:rPr>
        <w:t xml:space="preserve"> </w:t>
      </w:r>
      <w:proofErr w:type="spellStart"/>
      <w:r w:rsidR="00F7351F" w:rsidRPr="00B14ED8">
        <w:rPr>
          <w:rFonts w:ascii="Times New Roman" w:eastAsia="Times New Roman" w:hAnsi="Times New Roman" w:cs="Times New Roman"/>
          <w:sz w:val="24"/>
          <w:szCs w:val="24"/>
        </w:rPr>
        <w:t>terakhir</w:t>
      </w:r>
      <w:proofErr w:type="spellEnd"/>
      <w:r w:rsidR="00817161"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maka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dalam</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studi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ini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akan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dianalisis</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mengenai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seberapa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efektif</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implementasi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manajemen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risiko</w:t>
      </w:r>
      <w:proofErr w:type="spellEnd"/>
      <w:r w:rsidRPr="00B14ED8">
        <w:rPr>
          <w:rFonts w:ascii="Times New Roman" w:eastAsia="Times New Roman" w:hAnsi="Times New Roman" w:cs="Times New Roman"/>
          <w:sz w:val="24"/>
          <w:szCs w:val="24"/>
        </w:rPr>
        <w:t xml:space="preserve"> yang </w:t>
      </w:r>
      <w:proofErr w:type="spellStart"/>
      <w:r w:rsidRPr="00B14ED8">
        <w:rPr>
          <w:rFonts w:ascii="Times New Roman" w:eastAsia="Times New Roman" w:hAnsi="Times New Roman" w:cs="Times New Roman"/>
          <w:sz w:val="24"/>
          <w:szCs w:val="24"/>
        </w:rPr>
        <w:t>diterapkan</w:t>
      </w:r>
      <w:proofErr w:type="spellEnd"/>
      <w:r w:rsidRPr="00B14ED8">
        <w:rPr>
          <w:rFonts w:ascii="Times New Roman" w:eastAsia="Times New Roman" w:hAnsi="Times New Roman" w:cs="Times New Roman"/>
          <w:sz w:val="24"/>
          <w:szCs w:val="24"/>
        </w:rPr>
        <w:t xml:space="preserve"> di </w:t>
      </w:r>
      <w:proofErr w:type="spellStart"/>
      <w:r w:rsidRPr="00B14ED8">
        <w:rPr>
          <w:rFonts w:ascii="Times New Roman" w:eastAsia="Times New Roman" w:hAnsi="Times New Roman" w:cs="Times New Roman"/>
          <w:sz w:val="24"/>
          <w:szCs w:val="24"/>
        </w:rPr>
        <w:t>dalam</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pembiayaan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i/>
          <w:iCs/>
          <w:sz w:val="24"/>
          <w:szCs w:val="24"/>
        </w:rPr>
        <w:t>mudharabah</w:t>
      </w:r>
      <w:proofErr w:type="spellEnd"/>
      <w:r w:rsidRPr="00B14ED8">
        <w:rPr>
          <w:rFonts w:ascii="Times New Roman" w:eastAsia="Times New Roman" w:hAnsi="Times New Roman" w:cs="Times New Roman"/>
          <w:i/>
          <w:iCs/>
          <w:sz w:val="24"/>
          <w:szCs w:val="24"/>
        </w:rPr>
        <w:t xml:space="preserve"> </w:t>
      </w:r>
      <w:r w:rsidRPr="00B14ED8">
        <w:rPr>
          <w:rFonts w:ascii="Times New Roman" w:eastAsia="Times New Roman" w:hAnsi="Times New Roman" w:cs="Times New Roman"/>
          <w:sz w:val="24"/>
          <w:szCs w:val="24"/>
        </w:rPr>
        <w:t xml:space="preserve">dan </w:t>
      </w:r>
      <w:proofErr w:type="spellStart"/>
      <w:r w:rsidRPr="00B14ED8">
        <w:rPr>
          <w:rFonts w:ascii="Times New Roman" w:eastAsia="Times New Roman" w:hAnsi="Times New Roman" w:cs="Times New Roman"/>
          <w:sz w:val="24"/>
          <w:szCs w:val="24"/>
        </w:rPr>
        <w:t>pembiayaan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i/>
          <w:iCs/>
          <w:sz w:val="24"/>
          <w:szCs w:val="24"/>
        </w:rPr>
        <w:t>musyarakah</w:t>
      </w:r>
      <w:proofErr w:type="spellEnd"/>
      <w:r w:rsidR="005E6E03" w:rsidRPr="00B14ED8">
        <w:rPr>
          <w:rFonts w:ascii="Times New Roman" w:eastAsia="Times New Roman" w:hAnsi="Times New Roman" w:cs="Times New Roman"/>
          <w:sz w:val="24"/>
          <w:szCs w:val="24"/>
        </w:rPr>
        <w:t xml:space="preserve"> </w:t>
      </w:r>
      <w:proofErr w:type="spellStart"/>
      <w:r w:rsidR="006E4E94" w:rsidRPr="00B14ED8">
        <w:rPr>
          <w:rFonts w:ascii="Times New Roman" w:eastAsia="Times New Roman" w:hAnsi="Times New Roman" w:cs="Times New Roman"/>
          <w:sz w:val="24"/>
          <w:szCs w:val="24"/>
        </w:rPr>
        <w:t>terkait</w:t>
      </w:r>
      <w:proofErr w:type="spellEnd"/>
      <w:r w:rsidR="006E4E94" w:rsidRPr="00B14ED8">
        <w:rPr>
          <w:rFonts w:ascii="Times New Roman" w:eastAsia="Times New Roman" w:hAnsi="Times New Roman" w:cs="Times New Roman"/>
          <w:sz w:val="24"/>
          <w:szCs w:val="24"/>
        </w:rPr>
        <w:t xml:space="preserve"> </w:t>
      </w:r>
      <w:proofErr w:type="spellStart"/>
      <w:r w:rsidR="006E4E94" w:rsidRPr="00B14ED8">
        <w:rPr>
          <w:rFonts w:ascii="Times New Roman" w:eastAsia="Times New Roman" w:hAnsi="Times New Roman" w:cs="Times New Roman"/>
          <w:sz w:val="24"/>
          <w:szCs w:val="24"/>
        </w:rPr>
        <w:t>dampaknya</w:t>
      </w:r>
      <w:proofErr w:type="spellEnd"/>
      <w:r w:rsidR="006E4E94" w:rsidRPr="00B14ED8">
        <w:rPr>
          <w:rFonts w:ascii="Times New Roman" w:eastAsia="Times New Roman" w:hAnsi="Times New Roman" w:cs="Times New Roman"/>
          <w:sz w:val="24"/>
          <w:szCs w:val="24"/>
        </w:rPr>
        <w:t xml:space="preserve"> </w:t>
      </w:r>
      <w:proofErr w:type="spellStart"/>
      <w:r w:rsidR="006E4E94" w:rsidRPr="00B14ED8">
        <w:rPr>
          <w:rFonts w:ascii="Times New Roman" w:eastAsia="Times New Roman" w:hAnsi="Times New Roman" w:cs="Times New Roman"/>
          <w:sz w:val="24"/>
          <w:szCs w:val="24"/>
        </w:rPr>
        <w:t>terhadap</w:t>
      </w:r>
      <w:proofErr w:type="spellEnd"/>
      <w:r w:rsidR="005E6E03" w:rsidRPr="00B14ED8">
        <w:rPr>
          <w:rFonts w:ascii="Times New Roman" w:eastAsia="Times New Roman" w:hAnsi="Times New Roman" w:cs="Times New Roman"/>
          <w:sz w:val="24"/>
          <w:szCs w:val="24"/>
        </w:rPr>
        <w:t xml:space="preserve"> </w:t>
      </w:r>
      <w:proofErr w:type="spellStart"/>
      <w:r w:rsidR="005E6E03" w:rsidRPr="00B14ED8">
        <w:rPr>
          <w:rFonts w:ascii="Times New Roman" w:eastAsia="Times New Roman" w:hAnsi="Times New Roman" w:cs="Times New Roman"/>
          <w:sz w:val="24"/>
          <w:szCs w:val="24"/>
        </w:rPr>
        <w:t>nilai</w:t>
      </w:r>
      <w:proofErr w:type="spellEnd"/>
      <w:r w:rsidR="005E6E03" w:rsidRPr="00B14ED8">
        <w:rPr>
          <w:rFonts w:ascii="Times New Roman" w:eastAsia="Times New Roman" w:hAnsi="Times New Roman" w:cs="Times New Roman"/>
          <w:sz w:val="24"/>
          <w:szCs w:val="24"/>
        </w:rPr>
        <w:t xml:space="preserve"> </w:t>
      </w:r>
      <w:proofErr w:type="spellStart"/>
      <w:r w:rsidR="005E6E03" w:rsidRPr="00B14ED8">
        <w:rPr>
          <w:rFonts w:ascii="Times New Roman" w:eastAsia="Times New Roman" w:hAnsi="Times New Roman" w:cs="Times New Roman"/>
          <w:sz w:val="24"/>
          <w:szCs w:val="24"/>
        </w:rPr>
        <w:t>kinerja</w:t>
      </w:r>
      <w:proofErr w:type="spellEnd"/>
      <w:r w:rsidR="005E6E03" w:rsidRPr="00B14ED8">
        <w:rPr>
          <w:rFonts w:ascii="Times New Roman" w:eastAsia="Times New Roman" w:hAnsi="Times New Roman" w:cs="Times New Roman"/>
          <w:sz w:val="24"/>
          <w:szCs w:val="24"/>
        </w:rPr>
        <w:t xml:space="preserve"> </w:t>
      </w:r>
      <w:proofErr w:type="spellStart"/>
      <w:r w:rsidR="005E6E03" w:rsidRPr="00B14ED8">
        <w:rPr>
          <w:rFonts w:ascii="Times New Roman" w:eastAsia="Times New Roman" w:hAnsi="Times New Roman" w:cs="Times New Roman"/>
          <w:sz w:val="24"/>
          <w:szCs w:val="24"/>
        </w:rPr>
        <w:t>keuangan</w:t>
      </w:r>
      <w:proofErr w:type="spellEnd"/>
      <w:r w:rsidR="005E6E03" w:rsidRPr="00B14ED8">
        <w:rPr>
          <w:rFonts w:ascii="Times New Roman" w:eastAsia="Times New Roman" w:hAnsi="Times New Roman" w:cs="Times New Roman"/>
          <w:sz w:val="24"/>
          <w:szCs w:val="24"/>
        </w:rPr>
        <w:t xml:space="preserve"> </w:t>
      </w:r>
      <w:proofErr w:type="spellStart"/>
      <w:r w:rsidR="005E6E03" w:rsidRPr="00B14ED8">
        <w:rPr>
          <w:rFonts w:ascii="Times New Roman" w:eastAsia="Times New Roman" w:hAnsi="Times New Roman" w:cs="Times New Roman"/>
          <w:sz w:val="24"/>
          <w:szCs w:val="24"/>
        </w:rPr>
        <w:t>perbankan</w:t>
      </w:r>
      <w:proofErr w:type="spellEnd"/>
      <w:r w:rsidR="005E6E03" w:rsidRPr="00B14ED8">
        <w:rPr>
          <w:rFonts w:ascii="Times New Roman" w:eastAsia="Times New Roman" w:hAnsi="Times New Roman" w:cs="Times New Roman"/>
          <w:sz w:val="24"/>
          <w:szCs w:val="24"/>
        </w:rPr>
        <w:t xml:space="preserve"> </w:t>
      </w:r>
      <w:proofErr w:type="spellStart"/>
      <w:r w:rsidR="005E6E03" w:rsidRPr="00B14ED8">
        <w:rPr>
          <w:rFonts w:ascii="Times New Roman" w:eastAsia="Times New Roman" w:hAnsi="Times New Roman" w:cs="Times New Roman"/>
          <w:sz w:val="24"/>
          <w:szCs w:val="24"/>
        </w:rPr>
        <w:t>syariah</w:t>
      </w:r>
      <w:proofErr w:type="spellEnd"/>
      <w:r w:rsidR="00950319" w:rsidRPr="00B14ED8">
        <w:rPr>
          <w:rFonts w:ascii="Times New Roman" w:eastAsia="Times New Roman" w:hAnsi="Times New Roman" w:cs="Times New Roman"/>
          <w:sz w:val="24"/>
          <w:szCs w:val="24"/>
        </w:rPr>
        <w:t xml:space="preserve">. </w:t>
      </w:r>
    </w:p>
    <w:p w14:paraId="7321BA2D" w14:textId="77777777" w:rsidR="0038359B" w:rsidRPr="00B14ED8" w:rsidRDefault="00950319" w:rsidP="00B14ED8">
      <w:pPr>
        <w:spacing w:after="0" w:line="360" w:lineRule="auto"/>
        <w:ind w:firstLine="567"/>
        <w:jc w:val="both"/>
        <w:rPr>
          <w:rFonts w:ascii="Times New Roman" w:eastAsia="Times New Roman" w:hAnsi="Times New Roman" w:cs="Times New Roman"/>
          <w:sz w:val="24"/>
          <w:szCs w:val="24"/>
        </w:rPr>
      </w:pPr>
      <w:proofErr w:type="spellStart"/>
      <w:r w:rsidRPr="00B14ED8">
        <w:rPr>
          <w:rFonts w:ascii="Times New Roman" w:eastAsia="Times New Roman" w:hAnsi="Times New Roman" w:cs="Times New Roman"/>
          <w:sz w:val="24"/>
          <w:szCs w:val="24"/>
        </w:rPr>
        <w:t>Studi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ini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menitikberatkan</w:t>
      </w:r>
      <w:proofErr w:type="spellEnd"/>
      <w:r w:rsidRPr="00B14ED8">
        <w:rPr>
          <w:rFonts w:ascii="Times New Roman" w:eastAsia="Times New Roman" w:hAnsi="Times New Roman" w:cs="Times New Roman"/>
          <w:sz w:val="24"/>
          <w:szCs w:val="24"/>
        </w:rPr>
        <w:t xml:space="preserve"> pada </w:t>
      </w:r>
      <w:proofErr w:type="spellStart"/>
      <w:r w:rsidRPr="00B14ED8">
        <w:rPr>
          <w:rFonts w:ascii="Times New Roman" w:eastAsia="Times New Roman" w:hAnsi="Times New Roman" w:cs="Times New Roman"/>
          <w:sz w:val="24"/>
          <w:szCs w:val="24"/>
        </w:rPr>
        <w:t>penerapan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manajemen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risiko</w:t>
      </w:r>
      <w:proofErr w:type="spellEnd"/>
      <w:r w:rsidRPr="00B14ED8">
        <w:rPr>
          <w:rFonts w:ascii="Times New Roman" w:eastAsia="Times New Roman" w:hAnsi="Times New Roman" w:cs="Times New Roman"/>
          <w:sz w:val="24"/>
          <w:szCs w:val="24"/>
        </w:rPr>
        <w:t xml:space="preserve">, </w:t>
      </w:r>
      <w:proofErr w:type="spellStart"/>
      <w:r w:rsidR="00571FD3" w:rsidRPr="00B14ED8">
        <w:rPr>
          <w:rFonts w:ascii="Times New Roman" w:eastAsia="Times New Roman" w:hAnsi="Times New Roman" w:cs="Times New Roman"/>
          <w:sz w:val="24"/>
          <w:szCs w:val="24"/>
        </w:rPr>
        <w:t>mengingat</w:t>
      </w:r>
      <w:proofErr w:type="spellEnd"/>
      <w:r w:rsidR="00571FD3" w:rsidRPr="00B14ED8">
        <w:rPr>
          <w:rFonts w:ascii="Times New Roman" w:eastAsia="Times New Roman" w:hAnsi="Times New Roman" w:cs="Times New Roman"/>
          <w:sz w:val="24"/>
          <w:szCs w:val="24"/>
        </w:rPr>
        <w:t xml:space="preserve"> </w:t>
      </w:r>
      <w:proofErr w:type="spellStart"/>
      <w:r w:rsidR="00571FD3" w:rsidRPr="00B14ED8">
        <w:rPr>
          <w:rFonts w:ascii="Times New Roman" w:eastAsia="Times New Roman" w:hAnsi="Times New Roman" w:cs="Times New Roman"/>
          <w:sz w:val="24"/>
          <w:szCs w:val="24"/>
        </w:rPr>
        <w:t>manajemen</w:t>
      </w:r>
      <w:proofErr w:type="spellEnd"/>
      <w:r w:rsidR="00571FD3" w:rsidRPr="00B14ED8">
        <w:rPr>
          <w:rFonts w:ascii="Times New Roman" w:eastAsia="Times New Roman" w:hAnsi="Times New Roman" w:cs="Times New Roman"/>
          <w:sz w:val="24"/>
          <w:szCs w:val="24"/>
        </w:rPr>
        <w:t xml:space="preserve"> </w:t>
      </w:r>
      <w:proofErr w:type="spellStart"/>
      <w:r w:rsidR="00571FD3" w:rsidRPr="00B14ED8">
        <w:rPr>
          <w:rFonts w:ascii="Times New Roman" w:eastAsia="Times New Roman" w:hAnsi="Times New Roman" w:cs="Times New Roman"/>
          <w:sz w:val="24"/>
          <w:szCs w:val="24"/>
        </w:rPr>
        <w:t>risiko</w:t>
      </w:r>
      <w:proofErr w:type="spellEnd"/>
      <w:r w:rsidR="00571FD3" w:rsidRPr="00B14ED8">
        <w:rPr>
          <w:rFonts w:ascii="Times New Roman" w:eastAsia="Times New Roman" w:hAnsi="Times New Roman" w:cs="Times New Roman"/>
          <w:sz w:val="24"/>
          <w:szCs w:val="24"/>
        </w:rPr>
        <w:t xml:space="preserve"> </w:t>
      </w:r>
      <w:proofErr w:type="spellStart"/>
      <w:r w:rsidR="00571FD3" w:rsidRPr="00B14ED8">
        <w:rPr>
          <w:rFonts w:ascii="Times New Roman" w:eastAsia="Times New Roman" w:hAnsi="Times New Roman" w:cs="Times New Roman"/>
          <w:sz w:val="24"/>
          <w:szCs w:val="24"/>
        </w:rPr>
        <w:t>dalam</w:t>
      </w:r>
      <w:proofErr w:type="spellEnd"/>
      <w:r w:rsidR="00571FD3" w:rsidRPr="00B14ED8">
        <w:rPr>
          <w:rFonts w:ascii="Times New Roman" w:eastAsia="Times New Roman" w:hAnsi="Times New Roman" w:cs="Times New Roman"/>
          <w:sz w:val="24"/>
          <w:szCs w:val="24"/>
        </w:rPr>
        <w:t xml:space="preserve"> </w:t>
      </w:r>
      <w:proofErr w:type="spellStart"/>
      <w:r w:rsidR="00571FD3" w:rsidRPr="00B14ED8">
        <w:rPr>
          <w:rFonts w:ascii="Times New Roman" w:eastAsia="Times New Roman" w:hAnsi="Times New Roman" w:cs="Times New Roman"/>
          <w:sz w:val="24"/>
          <w:szCs w:val="24"/>
        </w:rPr>
        <w:t>lembaga</w:t>
      </w:r>
      <w:proofErr w:type="spellEnd"/>
      <w:r w:rsidR="00571FD3" w:rsidRPr="00B14ED8">
        <w:rPr>
          <w:rFonts w:ascii="Times New Roman" w:eastAsia="Times New Roman" w:hAnsi="Times New Roman" w:cs="Times New Roman"/>
          <w:sz w:val="24"/>
          <w:szCs w:val="24"/>
        </w:rPr>
        <w:t xml:space="preserve"> </w:t>
      </w:r>
      <w:proofErr w:type="spellStart"/>
      <w:r w:rsidR="00571FD3" w:rsidRPr="00B14ED8">
        <w:rPr>
          <w:rFonts w:ascii="Times New Roman" w:eastAsia="Times New Roman" w:hAnsi="Times New Roman" w:cs="Times New Roman"/>
          <w:sz w:val="24"/>
          <w:szCs w:val="24"/>
        </w:rPr>
        <w:t>keuangan</w:t>
      </w:r>
      <w:proofErr w:type="spellEnd"/>
      <w:r w:rsidR="00571FD3" w:rsidRPr="00B14ED8">
        <w:rPr>
          <w:rFonts w:ascii="Times New Roman" w:eastAsia="Times New Roman" w:hAnsi="Times New Roman" w:cs="Times New Roman"/>
          <w:sz w:val="24"/>
          <w:szCs w:val="24"/>
        </w:rPr>
        <w:t xml:space="preserve"> </w:t>
      </w:r>
      <w:proofErr w:type="spellStart"/>
      <w:r w:rsidR="00571FD3" w:rsidRPr="00B14ED8">
        <w:rPr>
          <w:rFonts w:ascii="Times New Roman" w:eastAsia="Times New Roman" w:hAnsi="Times New Roman" w:cs="Times New Roman"/>
          <w:sz w:val="24"/>
          <w:szCs w:val="24"/>
        </w:rPr>
        <w:t>berbasis</w:t>
      </w:r>
      <w:proofErr w:type="spellEnd"/>
      <w:r w:rsidR="00571FD3" w:rsidRPr="00B14ED8">
        <w:rPr>
          <w:rFonts w:ascii="Times New Roman" w:eastAsia="Times New Roman" w:hAnsi="Times New Roman" w:cs="Times New Roman"/>
          <w:sz w:val="24"/>
          <w:szCs w:val="24"/>
        </w:rPr>
        <w:t xml:space="preserve"> </w:t>
      </w:r>
      <w:proofErr w:type="spellStart"/>
      <w:r w:rsidR="00571FD3" w:rsidRPr="00B14ED8">
        <w:rPr>
          <w:rFonts w:ascii="Times New Roman" w:eastAsia="Times New Roman" w:hAnsi="Times New Roman" w:cs="Times New Roman"/>
          <w:sz w:val="24"/>
          <w:szCs w:val="24"/>
        </w:rPr>
        <w:t>syariah</w:t>
      </w:r>
      <w:proofErr w:type="spellEnd"/>
      <w:r w:rsidR="00571FD3" w:rsidRPr="00B14ED8">
        <w:rPr>
          <w:rFonts w:ascii="Times New Roman" w:eastAsia="Times New Roman" w:hAnsi="Times New Roman" w:cs="Times New Roman"/>
          <w:sz w:val="24"/>
          <w:szCs w:val="24"/>
        </w:rPr>
        <w:t xml:space="preserve"> </w:t>
      </w:r>
      <w:proofErr w:type="spellStart"/>
      <w:r w:rsidR="00571FD3" w:rsidRPr="00B14ED8">
        <w:rPr>
          <w:rFonts w:ascii="Times New Roman" w:eastAsia="Times New Roman" w:hAnsi="Times New Roman" w:cs="Times New Roman"/>
          <w:sz w:val="24"/>
          <w:szCs w:val="24"/>
        </w:rPr>
        <w:t>memerlukan</w:t>
      </w:r>
      <w:proofErr w:type="spellEnd"/>
      <w:r w:rsidR="00571FD3" w:rsidRPr="00B14ED8">
        <w:rPr>
          <w:rFonts w:ascii="Times New Roman" w:eastAsia="Times New Roman" w:hAnsi="Times New Roman" w:cs="Times New Roman"/>
          <w:sz w:val="24"/>
          <w:szCs w:val="24"/>
        </w:rPr>
        <w:t xml:space="preserve"> </w:t>
      </w:r>
      <w:proofErr w:type="spellStart"/>
      <w:r w:rsidR="00571FD3" w:rsidRPr="00B14ED8">
        <w:rPr>
          <w:rFonts w:ascii="Times New Roman" w:eastAsia="Times New Roman" w:hAnsi="Times New Roman" w:cs="Times New Roman"/>
          <w:sz w:val="24"/>
          <w:szCs w:val="24"/>
        </w:rPr>
        <w:t>perhatian</w:t>
      </w:r>
      <w:proofErr w:type="spellEnd"/>
      <w:r w:rsidR="00571FD3" w:rsidRPr="00B14ED8">
        <w:rPr>
          <w:rFonts w:ascii="Times New Roman" w:eastAsia="Times New Roman" w:hAnsi="Times New Roman" w:cs="Times New Roman"/>
          <w:sz w:val="24"/>
          <w:szCs w:val="24"/>
        </w:rPr>
        <w:t xml:space="preserve"> </w:t>
      </w:r>
      <w:proofErr w:type="spellStart"/>
      <w:r w:rsidR="00571FD3" w:rsidRPr="00B14ED8">
        <w:rPr>
          <w:rFonts w:ascii="Times New Roman" w:eastAsia="Times New Roman" w:hAnsi="Times New Roman" w:cs="Times New Roman"/>
          <w:sz w:val="24"/>
          <w:szCs w:val="24"/>
        </w:rPr>
        <w:t>lebih</w:t>
      </w:r>
      <w:proofErr w:type="spellEnd"/>
      <w:r w:rsidR="00571FD3" w:rsidRPr="00B14ED8">
        <w:rPr>
          <w:rFonts w:ascii="Times New Roman" w:eastAsia="Times New Roman" w:hAnsi="Times New Roman" w:cs="Times New Roman"/>
          <w:sz w:val="24"/>
          <w:szCs w:val="24"/>
        </w:rPr>
        <w:t xml:space="preserve"> </w:t>
      </w:r>
      <w:proofErr w:type="spellStart"/>
      <w:r w:rsidR="00571FD3" w:rsidRPr="00B14ED8">
        <w:rPr>
          <w:rFonts w:ascii="Times New Roman" w:eastAsia="Times New Roman" w:hAnsi="Times New Roman" w:cs="Times New Roman"/>
          <w:sz w:val="24"/>
          <w:szCs w:val="24"/>
        </w:rPr>
        <w:t>karena</w:t>
      </w:r>
      <w:proofErr w:type="spellEnd"/>
      <w:r w:rsidR="00571FD3" w:rsidRPr="00B14ED8">
        <w:rPr>
          <w:rFonts w:ascii="Times New Roman" w:eastAsia="Times New Roman" w:hAnsi="Times New Roman" w:cs="Times New Roman"/>
          <w:sz w:val="24"/>
          <w:szCs w:val="24"/>
        </w:rPr>
        <w:t xml:space="preserve"> </w:t>
      </w:r>
      <w:proofErr w:type="spellStart"/>
      <w:r w:rsidR="00571FD3" w:rsidRPr="00B14ED8">
        <w:rPr>
          <w:rFonts w:ascii="Times New Roman" w:eastAsia="Times New Roman" w:hAnsi="Times New Roman" w:cs="Times New Roman"/>
          <w:sz w:val="24"/>
          <w:szCs w:val="24"/>
        </w:rPr>
        <w:t>struktur</w:t>
      </w:r>
      <w:proofErr w:type="spellEnd"/>
      <w:r w:rsidR="00571FD3" w:rsidRPr="00B14ED8">
        <w:rPr>
          <w:rFonts w:ascii="Times New Roman" w:eastAsia="Times New Roman" w:hAnsi="Times New Roman" w:cs="Times New Roman"/>
          <w:sz w:val="24"/>
          <w:szCs w:val="24"/>
        </w:rPr>
        <w:t xml:space="preserve"> </w:t>
      </w:r>
      <w:proofErr w:type="spellStart"/>
      <w:r w:rsidR="00571FD3" w:rsidRPr="00B14ED8">
        <w:rPr>
          <w:rFonts w:ascii="Times New Roman" w:eastAsia="Times New Roman" w:hAnsi="Times New Roman" w:cs="Times New Roman"/>
          <w:sz w:val="24"/>
          <w:szCs w:val="24"/>
        </w:rPr>
        <w:t>aset</w:t>
      </w:r>
      <w:proofErr w:type="spellEnd"/>
      <w:r w:rsidR="00571FD3" w:rsidRPr="00B14ED8">
        <w:rPr>
          <w:rFonts w:ascii="Times New Roman" w:eastAsia="Times New Roman" w:hAnsi="Times New Roman" w:cs="Times New Roman"/>
          <w:sz w:val="24"/>
          <w:szCs w:val="24"/>
        </w:rPr>
        <w:t xml:space="preserve"> dan </w:t>
      </w:r>
      <w:proofErr w:type="spellStart"/>
      <w:r w:rsidR="00571FD3" w:rsidRPr="00B14ED8">
        <w:rPr>
          <w:rFonts w:ascii="Times New Roman" w:eastAsia="Times New Roman" w:hAnsi="Times New Roman" w:cs="Times New Roman"/>
          <w:sz w:val="24"/>
          <w:szCs w:val="24"/>
        </w:rPr>
        <w:t>kewajiban</w:t>
      </w:r>
      <w:proofErr w:type="spellEnd"/>
      <w:r w:rsidR="00B203F2" w:rsidRPr="00B14ED8">
        <w:rPr>
          <w:rFonts w:ascii="Times New Roman" w:eastAsia="Times New Roman" w:hAnsi="Times New Roman" w:cs="Times New Roman"/>
          <w:sz w:val="24"/>
          <w:szCs w:val="24"/>
        </w:rPr>
        <w:t xml:space="preserve"> yang </w:t>
      </w:r>
      <w:proofErr w:type="spellStart"/>
      <w:r w:rsidR="00B203F2" w:rsidRPr="00B14ED8">
        <w:rPr>
          <w:rFonts w:ascii="Times New Roman" w:eastAsia="Times New Roman" w:hAnsi="Times New Roman" w:cs="Times New Roman"/>
          <w:sz w:val="24"/>
          <w:szCs w:val="24"/>
        </w:rPr>
        <w:t>berbeda</w:t>
      </w:r>
      <w:proofErr w:type="spellEnd"/>
      <w:r w:rsidR="00B203F2" w:rsidRPr="00B14ED8">
        <w:rPr>
          <w:rFonts w:ascii="Times New Roman" w:eastAsia="Times New Roman" w:hAnsi="Times New Roman" w:cs="Times New Roman"/>
          <w:sz w:val="24"/>
          <w:szCs w:val="24"/>
        </w:rPr>
        <w:t xml:space="preserve"> </w:t>
      </w:r>
      <w:proofErr w:type="spellStart"/>
      <w:r w:rsidR="00B203F2" w:rsidRPr="00B14ED8">
        <w:rPr>
          <w:rFonts w:ascii="Times New Roman" w:eastAsia="Times New Roman" w:hAnsi="Times New Roman" w:cs="Times New Roman"/>
          <w:sz w:val="24"/>
          <w:szCs w:val="24"/>
        </w:rPr>
        <w:t>dengan</w:t>
      </w:r>
      <w:proofErr w:type="spellEnd"/>
      <w:r w:rsidR="00B203F2" w:rsidRPr="00B14ED8">
        <w:rPr>
          <w:rFonts w:ascii="Times New Roman" w:eastAsia="Times New Roman" w:hAnsi="Times New Roman" w:cs="Times New Roman"/>
          <w:sz w:val="24"/>
          <w:szCs w:val="24"/>
        </w:rPr>
        <w:t xml:space="preserve"> </w:t>
      </w:r>
      <w:proofErr w:type="spellStart"/>
      <w:r w:rsidR="00B203F2" w:rsidRPr="00B14ED8">
        <w:rPr>
          <w:rFonts w:ascii="Times New Roman" w:eastAsia="Times New Roman" w:hAnsi="Times New Roman" w:cs="Times New Roman"/>
          <w:sz w:val="24"/>
          <w:szCs w:val="24"/>
        </w:rPr>
        <w:t>sisem</w:t>
      </w:r>
      <w:proofErr w:type="spellEnd"/>
      <w:r w:rsidR="00B203F2" w:rsidRPr="00B14ED8">
        <w:rPr>
          <w:rFonts w:ascii="Times New Roman" w:eastAsia="Times New Roman" w:hAnsi="Times New Roman" w:cs="Times New Roman"/>
          <w:sz w:val="24"/>
          <w:szCs w:val="24"/>
        </w:rPr>
        <w:t xml:space="preserve"> </w:t>
      </w:r>
      <w:proofErr w:type="spellStart"/>
      <w:r w:rsidR="00B203F2" w:rsidRPr="00B14ED8">
        <w:rPr>
          <w:rFonts w:ascii="Times New Roman" w:eastAsia="Times New Roman" w:hAnsi="Times New Roman" w:cs="Times New Roman"/>
          <w:sz w:val="24"/>
          <w:szCs w:val="24"/>
        </w:rPr>
        <w:t>perbankan</w:t>
      </w:r>
      <w:proofErr w:type="spellEnd"/>
      <w:r w:rsidR="00B203F2" w:rsidRPr="00B14ED8">
        <w:rPr>
          <w:rFonts w:ascii="Times New Roman" w:eastAsia="Times New Roman" w:hAnsi="Times New Roman" w:cs="Times New Roman"/>
          <w:sz w:val="24"/>
          <w:szCs w:val="24"/>
        </w:rPr>
        <w:t xml:space="preserve"> </w:t>
      </w:r>
      <w:proofErr w:type="spellStart"/>
      <w:r w:rsidR="00B203F2" w:rsidRPr="00B14ED8">
        <w:rPr>
          <w:rFonts w:ascii="Times New Roman" w:eastAsia="Times New Roman" w:hAnsi="Times New Roman" w:cs="Times New Roman"/>
          <w:sz w:val="24"/>
          <w:szCs w:val="24"/>
        </w:rPr>
        <w:t>konvensional</w:t>
      </w:r>
      <w:proofErr w:type="spellEnd"/>
      <w:r w:rsidR="00130749" w:rsidRPr="00B14ED8">
        <w:rPr>
          <w:rFonts w:ascii="Times New Roman" w:eastAsia="Times New Roman" w:hAnsi="Times New Roman" w:cs="Times New Roman"/>
          <w:sz w:val="24"/>
          <w:szCs w:val="24"/>
        </w:rPr>
        <w:t xml:space="preserve">. </w:t>
      </w:r>
      <w:proofErr w:type="spellStart"/>
      <w:r w:rsidR="00130749" w:rsidRPr="00B14ED8">
        <w:rPr>
          <w:rFonts w:ascii="Times New Roman" w:eastAsia="Times New Roman" w:hAnsi="Times New Roman" w:cs="Times New Roman"/>
          <w:sz w:val="24"/>
          <w:szCs w:val="24"/>
        </w:rPr>
        <w:t>Selain</w:t>
      </w:r>
      <w:proofErr w:type="spellEnd"/>
      <w:r w:rsidR="00130749" w:rsidRPr="00B14ED8">
        <w:rPr>
          <w:rFonts w:ascii="Times New Roman" w:eastAsia="Times New Roman" w:hAnsi="Times New Roman" w:cs="Times New Roman"/>
          <w:sz w:val="24"/>
          <w:szCs w:val="24"/>
        </w:rPr>
        <w:t xml:space="preserve"> </w:t>
      </w:r>
      <w:proofErr w:type="spellStart"/>
      <w:r w:rsidR="00130749" w:rsidRPr="00B14ED8">
        <w:rPr>
          <w:rFonts w:ascii="Times New Roman" w:eastAsia="Times New Roman" w:hAnsi="Times New Roman" w:cs="Times New Roman"/>
          <w:sz w:val="24"/>
          <w:szCs w:val="24"/>
        </w:rPr>
        <w:t>itu</w:t>
      </w:r>
      <w:proofErr w:type="spellEnd"/>
      <w:r w:rsidR="005B75E5" w:rsidRPr="00B14ED8">
        <w:rPr>
          <w:rFonts w:ascii="Times New Roman" w:eastAsia="Times New Roman" w:hAnsi="Times New Roman" w:cs="Times New Roman"/>
          <w:sz w:val="24"/>
          <w:szCs w:val="24"/>
        </w:rPr>
        <w:t xml:space="preserve"> </w:t>
      </w:r>
      <w:proofErr w:type="spellStart"/>
      <w:r w:rsidR="005B75E5" w:rsidRPr="00B14ED8">
        <w:rPr>
          <w:rFonts w:ascii="Times New Roman" w:eastAsia="Times New Roman" w:hAnsi="Times New Roman" w:cs="Times New Roman"/>
          <w:sz w:val="24"/>
          <w:szCs w:val="24"/>
        </w:rPr>
        <w:t>sistem</w:t>
      </w:r>
      <w:proofErr w:type="spellEnd"/>
      <w:r w:rsidR="005B75E5" w:rsidRPr="00B14ED8">
        <w:rPr>
          <w:rFonts w:ascii="Times New Roman" w:eastAsia="Times New Roman" w:hAnsi="Times New Roman" w:cs="Times New Roman"/>
          <w:sz w:val="24"/>
          <w:szCs w:val="24"/>
        </w:rPr>
        <w:t xml:space="preserve"> PLS</w:t>
      </w:r>
      <w:r w:rsidR="00154632" w:rsidRPr="00B14ED8">
        <w:rPr>
          <w:rFonts w:ascii="Times New Roman" w:eastAsia="Times New Roman" w:hAnsi="Times New Roman" w:cs="Times New Roman"/>
          <w:sz w:val="24"/>
          <w:szCs w:val="24"/>
        </w:rPr>
        <w:t xml:space="preserve"> </w:t>
      </w:r>
      <w:proofErr w:type="spellStart"/>
      <w:r w:rsidR="00154632" w:rsidRPr="00B14ED8">
        <w:rPr>
          <w:rFonts w:ascii="Times New Roman" w:eastAsia="Times New Roman" w:hAnsi="Times New Roman" w:cs="Times New Roman"/>
          <w:sz w:val="24"/>
          <w:szCs w:val="24"/>
        </w:rPr>
        <w:t>baik</w:t>
      </w:r>
      <w:proofErr w:type="spellEnd"/>
      <w:r w:rsidR="00154632" w:rsidRPr="00B14ED8">
        <w:rPr>
          <w:rFonts w:ascii="Times New Roman" w:eastAsia="Times New Roman" w:hAnsi="Times New Roman" w:cs="Times New Roman"/>
          <w:sz w:val="24"/>
          <w:szCs w:val="24"/>
        </w:rPr>
        <w:t xml:space="preserve"> </w:t>
      </w:r>
      <w:proofErr w:type="spellStart"/>
      <w:r w:rsidR="00154632" w:rsidRPr="00B14ED8">
        <w:rPr>
          <w:rFonts w:ascii="Times New Roman" w:eastAsia="Times New Roman" w:hAnsi="Times New Roman" w:cs="Times New Roman"/>
          <w:i/>
          <w:iCs/>
          <w:sz w:val="24"/>
          <w:szCs w:val="24"/>
        </w:rPr>
        <w:t>mudharabah</w:t>
      </w:r>
      <w:proofErr w:type="spellEnd"/>
      <w:r w:rsidR="00154632" w:rsidRPr="00B14ED8">
        <w:rPr>
          <w:rFonts w:ascii="Times New Roman" w:eastAsia="Times New Roman" w:hAnsi="Times New Roman" w:cs="Times New Roman"/>
          <w:i/>
          <w:iCs/>
          <w:sz w:val="24"/>
          <w:szCs w:val="24"/>
        </w:rPr>
        <w:t xml:space="preserve"> </w:t>
      </w:r>
      <w:proofErr w:type="spellStart"/>
      <w:r w:rsidR="00154632" w:rsidRPr="00B14ED8">
        <w:rPr>
          <w:rFonts w:ascii="Times New Roman" w:eastAsia="Times New Roman" w:hAnsi="Times New Roman" w:cs="Times New Roman"/>
          <w:sz w:val="24"/>
          <w:szCs w:val="24"/>
        </w:rPr>
        <w:t>ataupun</w:t>
      </w:r>
      <w:proofErr w:type="spellEnd"/>
      <w:r w:rsidR="00154632" w:rsidRPr="00B14ED8">
        <w:rPr>
          <w:rFonts w:ascii="Times New Roman" w:eastAsia="Times New Roman" w:hAnsi="Times New Roman" w:cs="Times New Roman"/>
          <w:sz w:val="24"/>
          <w:szCs w:val="24"/>
        </w:rPr>
        <w:t xml:space="preserve"> </w:t>
      </w:r>
      <w:proofErr w:type="spellStart"/>
      <w:r w:rsidR="00154632" w:rsidRPr="00B14ED8">
        <w:rPr>
          <w:rFonts w:ascii="Times New Roman" w:eastAsia="Times New Roman" w:hAnsi="Times New Roman" w:cs="Times New Roman"/>
          <w:i/>
          <w:iCs/>
          <w:sz w:val="24"/>
          <w:szCs w:val="24"/>
        </w:rPr>
        <w:t>musyarakah</w:t>
      </w:r>
      <w:proofErr w:type="spellEnd"/>
      <w:r w:rsidR="005B75E5" w:rsidRPr="00B14ED8">
        <w:rPr>
          <w:rFonts w:ascii="Times New Roman" w:eastAsia="Times New Roman" w:hAnsi="Times New Roman" w:cs="Times New Roman"/>
          <w:sz w:val="24"/>
          <w:szCs w:val="24"/>
        </w:rPr>
        <w:t xml:space="preserve"> </w:t>
      </w:r>
      <w:proofErr w:type="spellStart"/>
      <w:r w:rsidR="00F60985" w:rsidRPr="00B14ED8">
        <w:rPr>
          <w:rFonts w:ascii="Times New Roman" w:eastAsia="Times New Roman" w:hAnsi="Times New Roman" w:cs="Times New Roman"/>
          <w:sz w:val="24"/>
          <w:szCs w:val="24"/>
        </w:rPr>
        <w:t>mempunyai</w:t>
      </w:r>
      <w:proofErr w:type="spellEnd"/>
      <w:r w:rsidR="00F60985" w:rsidRPr="00B14ED8">
        <w:rPr>
          <w:rFonts w:ascii="Times New Roman" w:eastAsia="Times New Roman" w:hAnsi="Times New Roman" w:cs="Times New Roman"/>
          <w:sz w:val="24"/>
          <w:szCs w:val="24"/>
        </w:rPr>
        <w:t xml:space="preserve"> </w:t>
      </w:r>
      <w:proofErr w:type="spellStart"/>
      <w:r w:rsidR="00F60985" w:rsidRPr="00B14ED8">
        <w:rPr>
          <w:rFonts w:ascii="Times New Roman" w:eastAsia="Times New Roman" w:hAnsi="Times New Roman" w:cs="Times New Roman"/>
          <w:sz w:val="24"/>
          <w:szCs w:val="24"/>
        </w:rPr>
        <w:t>nilai</w:t>
      </w:r>
      <w:proofErr w:type="spellEnd"/>
      <w:r w:rsidR="00F60985" w:rsidRPr="00B14ED8">
        <w:rPr>
          <w:rFonts w:ascii="Times New Roman" w:eastAsia="Times New Roman" w:hAnsi="Times New Roman" w:cs="Times New Roman"/>
          <w:sz w:val="24"/>
          <w:szCs w:val="24"/>
        </w:rPr>
        <w:t xml:space="preserve"> </w:t>
      </w:r>
      <w:proofErr w:type="spellStart"/>
      <w:r w:rsidR="00F60985" w:rsidRPr="00B14ED8">
        <w:rPr>
          <w:rFonts w:ascii="Times New Roman" w:eastAsia="Times New Roman" w:hAnsi="Times New Roman" w:cs="Times New Roman"/>
          <w:sz w:val="24"/>
          <w:szCs w:val="24"/>
        </w:rPr>
        <w:t>risiko</w:t>
      </w:r>
      <w:proofErr w:type="spellEnd"/>
      <w:r w:rsidR="00F60985" w:rsidRPr="00B14ED8">
        <w:rPr>
          <w:rFonts w:ascii="Times New Roman" w:eastAsia="Times New Roman" w:hAnsi="Times New Roman" w:cs="Times New Roman"/>
          <w:sz w:val="24"/>
          <w:szCs w:val="24"/>
        </w:rPr>
        <w:t xml:space="preserve"> yang </w:t>
      </w:r>
      <w:proofErr w:type="spellStart"/>
      <w:r w:rsidR="00F60985" w:rsidRPr="00B14ED8">
        <w:rPr>
          <w:rFonts w:ascii="Times New Roman" w:eastAsia="Times New Roman" w:hAnsi="Times New Roman" w:cs="Times New Roman"/>
          <w:sz w:val="24"/>
          <w:szCs w:val="24"/>
        </w:rPr>
        <w:t>tinggi</w:t>
      </w:r>
      <w:proofErr w:type="spellEnd"/>
      <w:r w:rsidR="00BE2835" w:rsidRPr="00B14ED8">
        <w:rPr>
          <w:rFonts w:ascii="Times New Roman" w:eastAsia="Times New Roman" w:hAnsi="Times New Roman" w:cs="Times New Roman"/>
          <w:sz w:val="24"/>
          <w:szCs w:val="24"/>
        </w:rPr>
        <w:t xml:space="preserve"> </w:t>
      </w:r>
      <w:proofErr w:type="spellStart"/>
      <w:r w:rsidR="00BE2835" w:rsidRPr="00B14ED8">
        <w:rPr>
          <w:rFonts w:ascii="Times New Roman" w:eastAsia="Times New Roman" w:hAnsi="Times New Roman" w:cs="Times New Roman"/>
          <w:sz w:val="24"/>
          <w:szCs w:val="24"/>
        </w:rPr>
        <w:t>serta</w:t>
      </w:r>
      <w:proofErr w:type="spellEnd"/>
      <w:r w:rsidR="00CE3332" w:rsidRPr="00B14ED8">
        <w:rPr>
          <w:rFonts w:ascii="Times New Roman" w:eastAsia="Times New Roman" w:hAnsi="Times New Roman" w:cs="Times New Roman"/>
          <w:sz w:val="24"/>
          <w:szCs w:val="24"/>
        </w:rPr>
        <w:t xml:space="preserve"> </w:t>
      </w:r>
      <w:proofErr w:type="spellStart"/>
      <w:r w:rsidR="00CE3332" w:rsidRPr="00B14ED8">
        <w:rPr>
          <w:rFonts w:ascii="Times New Roman" w:eastAsia="Times New Roman" w:hAnsi="Times New Roman" w:cs="Times New Roman"/>
          <w:sz w:val="24"/>
          <w:szCs w:val="24"/>
        </w:rPr>
        <w:t>berdampak</w:t>
      </w:r>
      <w:proofErr w:type="spellEnd"/>
      <w:r w:rsidR="00CE3332" w:rsidRPr="00B14ED8">
        <w:rPr>
          <w:rFonts w:ascii="Times New Roman" w:eastAsia="Times New Roman" w:hAnsi="Times New Roman" w:cs="Times New Roman"/>
          <w:sz w:val="24"/>
          <w:szCs w:val="24"/>
        </w:rPr>
        <w:t xml:space="preserve"> </w:t>
      </w:r>
      <w:proofErr w:type="spellStart"/>
      <w:r w:rsidR="00CE3332" w:rsidRPr="00B14ED8">
        <w:rPr>
          <w:rFonts w:ascii="Times New Roman" w:eastAsia="Times New Roman" w:hAnsi="Times New Roman" w:cs="Times New Roman"/>
          <w:sz w:val="24"/>
          <w:szCs w:val="24"/>
        </w:rPr>
        <w:t>langsung</w:t>
      </w:r>
      <w:proofErr w:type="spellEnd"/>
      <w:r w:rsidR="00CE3332" w:rsidRPr="00B14ED8">
        <w:rPr>
          <w:rFonts w:ascii="Times New Roman" w:eastAsia="Times New Roman" w:hAnsi="Times New Roman" w:cs="Times New Roman"/>
          <w:sz w:val="24"/>
          <w:szCs w:val="24"/>
        </w:rPr>
        <w:t xml:space="preserve"> </w:t>
      </w:r>
      <w:proofErr w:type="spellStart"/>
      <w:r w:rsidR="00CE3332" w:rsidRPr="00B14ED8">
        <w:rPr>
          <w:rFonts w:ascii="Times New Roman" w:eastAsia="Times New Roman" w:hAnsi="Times New Roman" w:cs="Times New Roman"/>
          <w:sz w:val="24"/>
          <w:szCs w:val="24"/>
        </w:rPr>
        <w:t>terhadap</w:t>
      </w:r>
      <w:proofErr w:type="spellEnd"/>
      <w:r w:rsidR="00CE3332" w:rsidRPr="00B14ED8">
        <w:rPr>
          <w:rFonts w:ascii="Times New Roman" w:eastAsia="Times New Roman" w:hAnsi="Times New Roman" w:cs="Times New Roman"/>
          <w:sz w:val="24"/>
          <w:szCs w:val="24"/>
        </w:rPr>
        <w:t xml:space="preserve"> </w:t>
      </w:r>
      <w:proofErr w:type="spellStart"/>
      <w:r w:rsidR="00AE19AB" w:rsidRPr="00B14ED8">
        <w:rPr>
          <w:rFonts w:ascii="Times New Roman" w:eastAsia="Times New Roman" w:hAnsi="Times New Roman" w:cs="Times New Roman"/>
          <w:sz w:val="24"/>
          <w:szCs w:val="24"/>
        </w:rPr>
        <w:t>fluktuasi</w:t>
      </w:r>
      <w:proofErr w:type="spellEnd"/>
      <w:r w:rsidR="00AE19AB" w:rsidRPr="00B14ED8">
        <w:rPr>
          <w:rFonts w:ascii="Times New Roman" w:eastAsia="Times New Roman" w:hAnsi="Times New Roman" w:cs="Times New Roman"/>
          <w:sz w:val="24"/>
          <w:szCs w:val="24"/>
        </w:rPr>
        <w:t xml:space="preserve"> </w:t>
      </w:r>
      <w:proofErr w:type="spellStart"/>
      <w:r w:rsidR="00BE2835" w:rsidRPr="00B14ED8">
        <w:rPr>
          <w:rFonts w:ascii="Times New Roman" w:eastAsia="Times New Roman" w:hAnsi="Times New Roman" w:cs="Times New Roman"/>
          <w:sz w:val="24"/>
          <w:szCs w:val="24"/>
        </w:rPr>
        <w:t>pendapatan</w:t>
      </w:r>
      <w:proofErr w:type="spellEnd"/>
      <w:r w:rsidR="00BE2835" w:rsidRPr="00B14ED8">
        <w:rPr>
          <w:rFonts w:ascii="Times New Roman" w:eastAsia="Times New Roman" w:hAnsi="Times New Roman" w:cs="Times New Roman"/>
          <w:sz w:val="24"/>
          <w:szCs w:val="24"/>
        </w:rPr>
        <w:t xml:space="preserve"> dan </w:t>
      </w:r>
      <w:proofErr w:type="spellStart"/>
      <w:r w:rsidR="00BE2835" w:rsidRPr="00B14ED8">
        <w:rPr>
          <w:rFonts w:ascii="Times New Roman" w:eastAsia="Times New Roman" w:hAnsi="Times New Roman" w:cs="Times New Roman"/>
          <w:sz w:val="24"/>
          <w:szCs w:val="24"/>
        </w:rPr>
        <w:t>nilai</w:t>
      </w:r>
      <w:proofErr w:type="spellEnd"/>
      <w:r w:rsidR="00BE2835" w:rsidRPr="00B14ED8">
        <w:rPr>
          <w:rFonts w:ascii="Times New Roman" w:eastAsia="Times New Roman" w:hAnsi="Times New Roman" w:cs="Times New Roman"/>
          <w:sz w:val="24"/>
          <w:szCs w:val="24"/>
        </w:rPr>
        <w:t xml:space="preserve"> modal</w:t>
      </w:r>
      <w:r w:rsidR="00A75248" w:rsidRPr="00B14ED8">
        <w:rPr>
          <w:rFonts w:ascii="Times New Roman" w:eastAsia="Times New Roman" w:hAnsi="Times New Roman" w:cs="Times New Roman"/>
          <w:sz w:val="24"/>
          <w:szCs w:val="24"/>
        </w:rPr>
        <w:fldChar w:fldCharType="begin" w:fldLock="1"/>
      </w:r>
      <w:r w:rsidR="006E7FDA" w:rsidRPr="00B14ED8">
        <w:rPr>
          <w:rFonts w:ascii="Times New Roman" w:eastAsia="Times New Roman" w:hAnsi="Times New Roman" w:cs="Times New Roman"/>
          <w:sz w:val="24"/>
          <w:szCs w:val="24"/>
        </w:rPr>
        <w:instrText>ADDIN CSL_CITATION {"citationItems":[{"id":"ITEM-1","itemData":{"DOI":"10.1108/JIABR-10-2018-0157","ISSN":"17590825","abstract":"Purpose: The purpose of this paper is to empirically assess the impact of the principle of profit- and loss-sharing (PLS) on the exposure to liquidity risk of Islamic banks in Gulf Corporation Council (GCC) countries. The Islamic bank activity is distinguished by a PLS principle, which is likely to involve specificities in the bank liquidity issue. Design/methodology/approach: This paper investigates the determinants of Islamic bank liquidity over the period 2005–2016 using a panel of 23 Islamic banks in GCC. The system of generalized method of moment estimators is applied. Findings: The findings reveal that while profit-sharing investment accounts (PSIAs) are inversely proportional to Islamic bank liquidity, the PLS investment does not seem to act as a determinant of the bank liquidity. The fact that PSIAs are globally short-run accounts, but finance long-run projects leads to a substantial maturity mismatches, which limits the availability of liquidity buffer and exacerbates the bank’s exposure to liquidity risk. Moreover, capital adequacy ratio has significant and positive association with bank liquidity, as a strong capital ratio helps to strengthen the liquidity control. However, return on assets has a negative significant impact on bank liquidity. For instance, if the bank holds more cash, it deprives itself from placing funds and earning returns, which causes its profitability to decline. Practical implications: This paper gives further insights to better improve the liquidity risk management in a context of scarcity of Shariah-compliant instruments. Islamic bank needs to determine the PLS purpose and goals to be consistent with the “bank’s financing policy” and convince its depositors to use their deposits for medium and long-run investments. Originality/value: Unlike previous empirical research, this investigation tries to better grasp the Islamic bank liquidity issue by focusing on the PLS impact on liquidity risk. It aims to fill in the gap in the empirical literature on this topic.","author":[{"dropping-particle":"Ben","family":"Jedidia","given":"Khoutem","non-dropping-particle":"","parse-names":false,"suffix":""}],"container-title":"Journal of Islamic Accounting and Business Research","id":"ITEM-1","issue":"9","issued":{"date-parts":[["2020"]]},"page":"1791-1806","title":"Profit- and loss-sharing impact on Islamic bank liquidity in GCC countries","type":"article-journal","volume":"11"},"uris":["http://www.mendeley.com/documents/?uuid=0d37ca26-dd0d-443e-92ec-15758abb1ed7"]}],"mendeley":{"formattedCitation":"(Jedidia, 2020)","plainTextFormattedCitation":"(Jedidia, 2020)","previouslyFormattedCitation":"(Jedidia, 2020)"},"properties":{"noteIndex":0},"schema":"https://github.com/citation-style-language/schema/raw/master/csl-citation.json"}</w:instrText>
      </w:r>
      <w:r w:rsidR="00A75248" w:rsidRPr="00B14ED8">
        <w:rPr>
          <w:rFonts w:ascii="Times New Roman" w:eastAsia="Times New Roman" w:hAnsi="Times New Roman" w:cs="Times New Roman"/>
          <w:sz w:val="24"/>
          <w:szCs w:val="24"/>
        </w:rPr>
        <w:fldChar w:fldCharType="separate"/>
      </w:r>
      <w:r w:rsidR="00A75248" w:rsidRPr="00B14ED8">
        <w:rPr>
          <w:rFonts w:ascii="Times New Roman" w:eastAsia="Times New Roman" w:hAnsi="Times New Roman" w:cs="Times New Roman"/>
          <w:noProof/>
          <w:sz w:val="24"/>
          <w:szCs w:val="24"/>
        </w:rPr>
        <w:t>(</w:t>
      </w:r>
      <w:proofErr w:type="spellStart"/>
      <w:r w:rsidR="00A75248" w:rsidRPr="00B14ED8">
        <w:rPr>
          <w:rFonts w:ascii="Times New Roman" w:eastAsia="Times New Roman" w:hAnsi="Times New Roman" w:cs="Times New Roman"/>
          <w:noProof/>
          <w:sz w:val="24"/>
          <w:szCs w:val="24"/>
        </w:rPr>
        <w:t>Jedidia</w:t>
      </w:r>
      <w:proofErr w:type="spellEnd"/>
      <w:r w:rsidR="00A75248" w:rsidRPr="00B14ED8">
        <w:rPr>
          <w:rFonts w:ascii="Times New Roman" w:eastAsia="Times New Roman" w:hAnsi="Times New Roman" w:cs="Times New Roman"/>
          <w:noProof/>
          <w:sz w:val="24"/>
          <w:szCs w:val="24"/>
        </w:rPr>
        <w:t>, 2020)</w:t>
      </w:r>
      <w:r w:rsidR="00A75248" w:rsidRPr="00B14ED8">
        <w:rPr>
          <w:rFonts w:ascii="Times New Roman" w:eastAsia="Times New Roman" w:hAnsi="Times New Roman" w:cs="Times New Roman"/>
          <w:sz w:val="24"/>
          <w:szCs w:val="24"/>
        </w:rPr>
        <w:fldChar w:fldCharType="end"/>
      </w:r>
      <w:r w:rsidR="00A75248" w:rsidRPr="00B14ED8">
        <w:rPr>
          <w:rFonts w:ascii="Times New Roman" w:eastAsia="Times New Roman" w:hAnsi="Times New Roman" w:cs="Times New Roman"/>
          <w:sz w:val="24"/>
          <w:szCs w:val="24"/>
        </w:rPr>
        <w:t>.</w:t>
      </w:r>
      <w:r w:rsidR="007C534E" w:rsidRPr="00B14ED8">
        <w:rPr>
          <w:rFonts w:ascii="Times New Roman" w:eastAsia="Times New Roman" w:hAnsi="Times New Roman" w:cs="Times New Roman"/>
          <w:sz w:val="24"/>
          <w:szCs w:val="24"/>
        </w:rPr>
        <w:t xml:space="preserve"> </w:t>
      </w:r>
      <w:proofErr w:type="spellStart"/>
      <w:r w:rsidR="007C534E" w:rsidRPr="00B14ED8">
        <w:rPr>
          <w:rFonts w:ascii="Times New Roman" w:eastAsia="Times New Roman" w:hAnsi="Times New Roman" w:cs="Times New Roman"/>
          <w:sz w:val="24"/>
          <w:szCs w:val="24"/>
        </w:rPr>
        <w:t>Maka</w:t>
      </w:r>
      <w:proofErr w:type="spellEnd"/>
      <w:r w:rsidR="007C534E" w:rsidRPr="00B14ED8">
        <w:rPr>
          <w:rFonts w:ascii="Times New Roman" w:eastAsia="Times New Roman" w:hAnsi="Times New Roman" w:cs="Times New Roman"/>
          <w:sz w:val="24"/>
          <w:szCs w:val="24"/>
        </w:rPr>
        <w:t xml:space="preserve"> </w:t>
      </w:r>
      <w:proofErr w:type="spellStart"/>
      <w:r w:rsidR="007C534E" w:rsidRPr="00B14ED8">
        <w:rPr>
          <w:rFonts w:ascii="Times New Roman" w:eastAsia="Times New Roman" w:hAnsi="Times New Roman" w:cs="Times New Roman"/>
          <w:sz w:val="24"/>
          <w:szCs w:val="24"/>
        </w:rPr>
        <w:t>dari</w:t>
      </w:r>
      <w:proofErr w:type="spellEnd"/>
      <w:r w:rsidR="007C534E" w:rsidRPr="00B14ED8">
        <w:rPr>
          <w:rFonts w:ascii="Times New Roman" w:eastAsia="Times New Roman" w:hAnsi="Times New Roman" w:cs="Times New Roman"/>
          <w:sz w:val="24"/>
          <w:szCs w:val="24"/>
        </w:rPr>
        <w:t xml:space="preserve"> </w:t>
      </w:r>
      <w:proofErr w:type="spellStart"/>
      <w:r w:rsidR="007C534E" w:rsidRPr="00B14ED8">
        <w:rPr>
          <w:rFonts w:ascii="Times New Roman" w:eastAsia="Times New Roman" w:hAnsi="Times New Roman" w:cs="Times New Roman"/>
          <w:sz w:val="24"/>
          <w:szCs w:val="24"/>
        </w:rPr>
        <w:t>itu</w:t>
      </w:r>
      <w:proofErr w:type="spellEnd"/>
      <w:r w:rsidR="007C534E" w:rsidRPr="00B14ED8">
        <w:rPr>
          <w:rFonts w:ascii="Times New Roman" w:eastAsia="Times New Roman" w:hAnsi="Times New Roman" w:cs="Times New Roman"/>
          <w:sz w:val="24"/>
          <w:szCs w:val="24"/>
        </w:rPr>
        <w:t xml:space="preserve"> </w:t>
      </w:r>
      <w:proofErr w:type="spellStart"/>
      <w:r w:rsidR="007C534E" w:rsidRPr="00B14ED8">
        <w:rPr>
          <w:rFonts w:ascii="Times New Roman" w:eastAsia="Times New Roman" w:hAnsi="Times New Roman" w:cs="Times New Roman"/>
          <w:sz w:val="24"/>
          <w:szCs w:val="24"/>
        </w:rPr>
        <w:t>peran</w:t>
      </w:r>
      <w:proofErr w:type="spellEnd"/>
      <w:r w:rsidR="007C534E" w:rsidRPr="00B14ED8">
        <w:rPr>
          <w:rFonts w:ascii="Times New Roman" w:eastAsia="Times New Roman" w:hAnsi="Times New Roman" w:cs="Times New Roman"/>
          <w:sz w:val="24"/>
          <w:szCs w:val="24"/>
        </w:rPr>
        <w:t xml:space="preserve"> </w:t>
      </w:r>
      <w:proofErr w:type="spellStart"/>
      <w:r w:rsidR="007C534E" w:rsidRPr="00B14ED8">
        <w:rPr>
          <w:rFonts w:ascii="Times New Roman" w:eastAsia="Times New Roman" w:hAnsi="Times New Roman" w:cs="Times New Roman"/>
          <w:sz w:val="24"/>
          <w:szCs w:val="24"/>
        </w:rPr>
        <w:t>manajemen</w:t>
      </w:r>
      <w:proofErr w:type="spellEnd"/>
      <w:r w:rsidR="007C534E" w:rsidRPr="00B14ED8">
        <w:rPr>
          <w:rFonts w:ascii="Times New Roman" w:eastAsia="Times New Roman" w:hAnsi="Times New Roman" w:cs="Times New Roman"/>
          <w:sz w:val="24"/>
          <w:szCs w:val="24"/>
        </w:rPr>
        <w:t xml:space="preserve"> </w:t>
      </w:r>
      <w:proofErr w:type="spellStart"/>
      <w:r w:rsidR="007C534E" w:rsidRPr="00B14ED8">
        <w:rPr>
          <w:rFonts w:ascii="Times New Roman" w:eastAsia="Times New Roman" w:hAnsi="Times New Roman" w:cs="Times New Roman"/>
          <w:sz w:val="24"/>
          <w:szCs w:val="24"/>
        </w:rPr>
        <w:t>risiko</w:t>
      </w:r>
      <w:proofErr w:type="spellEnd"/>
      <w:r w:rsidR="007C534E" w:rsidRPr="00B14ED8">
        <w:rPr>
          <w:rFonts w:ascii="Times New Roman" w:eastAsia="Times New Roman" w:hAnsi="Times New Roman" w:cs="Times New Roman"/>
          <w:sz w:val="24"/>
          <w:szCs w:val="24"/>
        </w:rPr>
        <w:t xml:space="preserve"> </w:t>
      </w:r>
      <w:proofErr w:type="spellStart"/>
      <w:r w:rsidR="007C534E" w:rsidRPr="00B14ED8">
        <w:rPr>
          <w:rFonts w:ascii="Times New Roman" w:eastAsia="Times New Roman" w:hAnsi="Times New Roman" w:cs="Times New Roman"/>
          <w:sz w:val="24"/>
          <w:szCs w:val="24"/>
        </w:rPr>
        <w:t>menjadi</w:t>
      </w:r>
      <w:proofErr w:type="spellEnd"/>
      <w:r w:rsidR="007C534E" w:rsidRPr="00B14ED8">
        <w:rPr>
          <w:rFonts w:ascii="Times New Roman" w:eastAsia="Times New Roman" w:hAnsi="Times New Roman" w:cs="Times New Roman"/>
          <w:sz w:val="24"/>
          <w:szCs w:val="24"/>
        </w:rPr>
        <w:t xml:space="preserve"> </w:t>
      </w:r>
      <w:proofErr w:type="spellStart"/>
      <w:r w:rsidR="007C534E" w:rsidRPr="00B14ED8">
        <w:rPr>
          <w:rFonts w:ascii="Times New Roman" w:eastAsia="Times New Roman" w:hAnsi="Times New Roman" w:cs="Times New Roman"/>
          <w:sz w:val="24"/>
          <w:szCs w:val="24"/>
        </w:rPr>
        <w:t>krusial</w:t>
      </w:r>
      <w:proofErr w:type="spellEnd"/>
      <w:r w:rsidR="007C534E" w:rsidRPr="00B14ED8">
        <w:rPr>
          <w:rFonts w:ascii="Times New Roman" w:eastAsia="Times New Roman" w:hAnsi="Times New Roman" w:cs="Times New Roman"/>
          <w:sz w:val="24"/>
          <w:szCs w:val="24"/>
        </w:rPr>
        <w:t xml:space="preserve"> di </w:t>
      </w:r>
      <w:proofErr w:type="spellStart"/>
      <w:r w:rsidR="007C534E" w:rsidRPr="00B14ED8">
        <w:rPr>
          <w:rFonts w:ascii="Times New Roman" w:eastAsia="Times New Roman" w:hAnsi="Times New Roman" w:cs="Times New Roman"/>
          <w:sz w:val="24"/>
          <w:szCs w:val="24"/>
        </w:rPr>
        <w:t>dalam</w:t>
      </w:r>
      <w:proofErr w:type="spellEnd"/>
      <w:r w:rsidR="007C534E" w:rsidRPr="00B14ED8">
        <w:rPr>
          <w:rFonts w:ascii="Times New Roman" w:eastAsia="Times New Roman" w:hAnsi="Times New Roman" w:cs="Times New Roman"/>
          <w:sz w:val="24"/>
          <w:szCs w:val="24"/>
        </w:rPr>
        <w:t xml:space="preserve"> </w:t>
      </w:r>
      <w:proofErr w:type="spellStart"/>
      <w:r w:rsidR="007C534E" w:rsidRPr="00B14ED8">
        <w:rPr>
          <w:rFonts w:ascii="Times New Roman" w:eastAsia="Times New Roman" w:hAnsi="Times New Roman" w:cs="Times New Roman"/>
          <w:sz w:val="24"/>
          <w:szCs w:val="24"/>
        </w:rPr>
        <w:t>implementasi</w:t>
      </w:r>
      <w:proofErr w:type="spellEnd"/>
      <w:r w:rsidR="007C534E" w:rsidRPr="00B14ED8">
        <w:rPr>
          <w:rFonts w:ascii="Times New Roman" w:eastAsia="Times New Roman" w:hAnsi="Times New Roman" w:cs="Times New Roman"/>
          <w:sz w:val="24"/>
          <w:szCs w:val="24"/>
        </w:rPr>
        <w:t xml:space="preserve"> </w:t>
      </w:r>
      <w:proofErr w:type="spellStart"/>
      <w:r w:rsidR="007C534E" w:rsidRPr="00B14ED8">
        <w:rPr>
          <w:rFonts w:ascii="Times New Roman" w:eastAsia="Times New Roman" w:hAnsi="Times New Roman" w:cs="Times New Roman"/>
          <w:sz w:val="24"/>
          <w:szCs w:val="24"/>
        </w:rPr>
        <w:t>sistem</w:t>
      </w:r>
      <w:proofErr w:type="spellEnd"/>
      <w:r w:rsidR="007C534E" w:rsidRPr="00B14ED8">
        <w:rPr>
          <w:rFonts w:ascii="Times New Roman" w:eastAsia="Times New Roman" w:hAnsi="Times New Roman" w:cs="Times New Roman"/>
          <w:sz w:val="24"/>
          <w:szCs w:val="24"/>
        </w:rPr>
        <w:t xml:space="preserve"> PLS</w:t>
      </w:r>
      <w:r w:rsidR="00BA0C8C" w:rsidRPr="00B14ED8">
        <w:rPr>
          <w:rFonts w:ascii="Times New Roman" w:eastAsia="Times New Roman" w:hAnsi="Times New Roman" w:cs="Times New Roman"/>
          <w:sz w:val="24"/>
          <w:szCs w:val="24"/>
        </w:rPr>
        <w:t xml:space="preserve"> </w:t>
      </w:r>
      <w:proofErr w:type="spellStart"/>
      <w:r w:rsidR="00BA0C8C" w:rsidRPr="00B14ED8">
        <w:rPr>
          <w:rFonts w:ascii="Times New Roman" w:eastAsia="Times New Roman" w:hAnsi="Times New Roman" w:cs="Times New Roman"/>
          <w:sz w:val="24"/>
          <w:szCs w:val="24"/>
        </w:rPr>
        <w:t>untuk</w:t>
      </w:r>
      <w:proofErr w:type="spellEnd"/>
      <w:r w:rsidR="00044A9A" w:rsidRPr="00B14ED8">
        <w:rPr>
          <w:rFonts w:ascii="Times New Roman" w:eastAsia="Times New Roman" w:hAnsi="Times New Roman" w:cs="Times New Roman"/>
          <w:sz w:val="24"/>
          <w:szCs w:val="24"/>
        </w:rPr>
        <w:t xml:space="preserve"> </w:t>
      </w:r>
      <w:proofErr w:type="spellStart"/>
      <w:r w:rsidR="00BB635F" w:rsidRPr="00B14ED8">
        <w:rPr>
          <w:rFonts w:ascii="Times New Roman" w:eastAsia="Times New Roman" w:hAnsi="Times New Roman" w:cs="Times New Roman"/>
          <w:sz w:val="24"/>
          <w:szCs w:val="24"/>
        </w:rPr>
        <w:t>menjelaskan</w:t>
      </w:r>
      <w:proofErr w:type="spellEnd"/>
      <w:r w:rsidR="00BB635F" w:rsidRPr="00B14ED8">
        <w:rPr>
          <w:rFonts w:ascii="Times New Roman" w:eastAsia="Times New Roman" w:hAnsi="Times New Roman" w:cs="Times New Roman"/>
          <w:sz w:val="24"/>
          <w:szCs w:val="24"/>
        </w:rPr>
        <w:t xml:space="preserve"> </w:t>
      </w:r>
      <w:proofErr w:type="spellStart"/>
      <w:r w:rsidR="00BB635F" w:rsidRPr="00B14ED8">
        <w:rPr>
          <w:rFonts w:ascii="Times New Roman" w:eastAsia="Times New Roman" w:hAnsi="Times New Roman" w:cs="Times New Roman"/>
          <w:sz w:val="24"/>
          <w:szCs w:val="24"/>
        </w:rPr>
        <w:t>intensitas</w:t>
      </w:r>
      <w:proofErr w:type="spellEnd"/>
      <w:r w:rsidR="00BB635F" w:rsidRPr="00B14ED8">
        <w:rPr>
          <w:rFonts w:ascii="Times New Roman" w:eastAsia="Times New Roman" w:hAnsi="Times New Roman" w:cs="Times New Roman"/>
          <w:sz w:val="24"/>
          <w:szCs w:val="24"/>
        </w:rPr>
        <w:t xml:space="preserve"> </w:t>
      </w:r>
      <w:proofErr w:type="spellStart"/>
      <w:r w:rsidR="00BB635F" w:rsidRPr="00B14ED8">
        <w:rPr>
          <w:rFonts w:ascii="Times New Roman" w:eastAsia="Times New Roman" w:hAnsi="Times New Roman" w:cs="Times New Roman"/>
          <w:sz w:val="24"/>
          <w:szCs w:val="24"/>
        </w:rPr>
        <w:t>risiko</w:t>
      </w:r>
      <w:proofErr w:type="spellEnd"/>
      <w:r w:rsidR="006772A6" w:rsidRPr="00B14ED8">
        <w:rPr>
          <w:rFonts w:ascii="Times New Roman" w:eastAsia="Times New Roman" w:hAnsi="Times New Roman" w:cs="Times New Roman"/>
          <w:sz w:val="24"/>
          <w:szCs w:val="24"/>
        </w:rPr>
        <w:t xml:space="preserve"> yang </w:t>
      </w:r>
      <w:proofErr w:type="spellStart"/>
      <w:r w:rsidR="006772A6" w:rsidRPr="00B14ED8">
        <w:rPr>
          <w:rFonts w:ascii="Times New Roman" w:eastAsia="Times New Roman" w:hAnsi="Times New Roman" w:cs="Times New Roman"/>
          <w:sz w:val="24"/>
          <w:szCs w:val="24"/>
        </w:rPr>
        <w:t>dapat</w:t>
      </w:r>
      <w:proofErr w:type="spellEnd"/>
      <w:r w:rsidR="006772A6" w:rsidRPr="00B14ED8">
        <w:rPr>
          <w:rFonts w:ascii="Times New Roman" w:eastAsia="Times New Roman" w:hAnsi="Times New Roman" w:cs="Times New Roman"/>
          <w:sz w:val="24"/>
          <w:szCs w:val="24"/>
        </w:rPr>
        <w:t xml:space="preserve"> </w:t>
      </w:r>
      <w:proofErr w:type="spellStart"/>
      <w:r w:rsidR="006772A6" w:rsidRPr="00B14ED8">
        <w:rPr>
          <w:rFonts w:ascii="Times New Roman" w:eastAsia="Times New Roman" w:hAnsi="Times New Roman" w:cs="Times New Roman"/>
          <w:sz w:val="24"/>
          <w:szCs w:val="24"/>
        </w:rPr>
        <w:t>terjadi</w:t>
      </w:r>
      <w:proofErr w:type="spellEnd"/>
      <w:r w:rsidR="00464721" w:rsidRPr="00B14ED8">
        <w:rPr>
          <w:rFonts w:ascii="Times New Roman" w:eastAsia="Times New Roman" w:hAnsi="Times New Roman" w:cs="Times New Roman"/>
          <w:sz w:val="24"/>
          <w:szCs w:val="24"/>
        </w:rPr>
        <w:t xml:space="preserve">, </w:t>
      </w:r>
      <w:proofErr w:type="spellStart"/>
      <w:r w:rsidR="00BB635F" w:rsidRPr="00B14ED8">
        <w:rPr>
          <w:rFonts w:ascii="Times New Roman" w:eastAsia="Times New Roman" w:hAnsi="Times New Roman" w:cs="Times New Roman"/>
          <w:sz w:val="24"/>
          <w:szCs w:val="24"/>
        </w:rPr>
        <w:t>memastikan</w:t>
      </w:r>
      <w:proofErr w:type="spellEnd"/>
      <w:r w:rsidR="00BB635F" w:rsidRPr="00B14ED8">
        <w:rPr>
          <w:rFonts w:ascii="Times New Roman" w:eastAsia="Times New Roman" w:hAnsi="Times New Roman" w:cs="Times New Roman"/>
          <w:sz w:val="24"/>
          <w:szCs w:val="24"/>
        </w:rPr>
        <w:t xml:space="preserve"> </w:t>
      </w:r>
      <w:proofErr w:type="spellStart"/>
      <w:r w:rsidR="00BB635F" w:rsidRPr="00B14ED8">
        <w:rPr>
          <w:rFonts w:ascii="Times New Roman" w:eastAsia="Times New Roman" w:hAnsi="Times New Roman" w:cs="Times New Roman"/>
          <w:sz w:val="24"/>
          <w:szCs w:val="24"/>
        </w:rPr>
        <w:t>stabilitas</w:t>
      </w:r>
      <w:proofErr w:type="spellEnd"/>
      <w:r w:rsidR="00BB635F" w:rsidRPr="00B14ED8">
        <w:rPr>
          <w:rFonts w:ascii="Times New Roman" w:eastAsia="Times New Roman" w:hAnsi="Times New Roman" w:cs="Times New Roman"/>
          <w:sz w:val="24"/>
          <w:szCs w:val="24"/>
        </w:rPr>
        <w:t xml:space="preserve"> </w:t>
      </w:r>
      <w:proofErr w:type="spellStart"/>
      <w:r w:rsidR="00BB635F" w:rsidRPr="00B14ED8">
        <w:rPr>
          <w:rFonts w:ascii="Times New Roman" w:eastAsia="Times New Roman" w:hAnsi="Times New Roman" w:cs="Times New Roman"/>
          <w:sz w:val="24"/>
          <w:szCs w:val="24"/>
        </w:rPr>
        <w:t>keuangan</w:t>
      </w:r>
      <w:proofErr w:type="spellEnd"/>
      <w:r w:rsidR="00BB635F" w:rsidRPr="00B14ED8">
        <w:rPr>
          <w:rFonts w:ascii="Times New Roman" w:eastAsia="Times New Roman" w:hAnsi="Times New Roman" w:cs="Times New Roman"/>
          <w:sz w:val="24"/>
          <w:szCs w:val="24"/>
        </w:rPr>
        <w:t xml:space="preserve"> dan </w:t>
      </w:r>
      <w:proofErr w:type="spellStart"/>
      <w:r w:rsidR="00BB635F" w:rsidRPr="00B14ED8">
        <w:rPr>
          <w:rFonts w:ascii="Times New Roman" w:eastAsia="Times New Roman" w:hAnsi="Times New Roman" w:cs="Times New Roman"/>
          <w:sz w:val="24"/>
          <w:szCs w:val="24"/>
        </w:rPr>
        <w:t>mencegah</w:t>
      </w:r>
      <w:proofErr w:type="spellEnd"/>
      <w:r w:rsidR="00BB635F" w:rsidRPr="00B14ED8">
        <w:rPr>
          <w:rFonts w:ascii="Times New Roman" w:eastAsia="Times New Roman" w:hAnsi="Times New Roman" w:cs="Times New Roman"/>
          <w:sz w:val="24"/>
          <w:szCs w:val="24"/>
        </w:rPr>
        <w:t xml:space="preserve"> </w:t>
      </w:r>
      <w:proofErr w:type="spellStart"/>
      <w:r w:rsidR="00BB635F" w:rsidRPr="00B14ED8">
        <w:rPr>
          <w:rFonts w:ascii="Times New Roman" w:eastAsia="Times New Roman" w:hAnsi="Times New Roman" w:cs="Times New Roman"/>
          <w:sz w:val="24"/>
          <w:szCs w:val="24"/>
        </w:rPr>
        <w:t>konsekuensi</w:t>
      </w:r>
      <w:proofErr w:type="spellEnd"/>
      <w:r w:rsidR="00BB635F" w:rsidRPr="00B14ED8">
        <w:rPr>
          <w:rFonts w:ascii="Times New Roman" w:eastAsia="Times New Roman" w:hAnsi="Times New Roman" w:cs="Times New Roman"/>
          <w:sz w:val="24"/>
          <w:szCs w:val="24"/>
        </w:rPr>
        <w:t xml:space="preserve"> </w:t>
      </w:r>
      <w:proofErr w:type="spellStart"/>
      <w:r w:rsidR="00BB635F" w:rsidRPr="00B14ED8">
        <w:rPr>
          <w:rFonts w:ascii="Times New Roman" w:eastAsia="Times New Roman" w:hAnsi="Times New Roman" w:cs="Times New Roman"/>
          <w:sz w:val="24"/>
          <w:szCs w:val="24"/>
        </w:rPr>
        <w:t>ekonomi</w:t>
      </w:r>
      <w:proofErr w:type="spellEnd"/>
      <w:r w:rsidR="00BB635F" w:rsidRPr="00B14ED8">
        <w:rPr>
          <w:rFonts w:ascii="Times New Roman" w:eastAsia="Times New Roman" w:hAnsi="Times New Roman" w:cs="Times New Roman"/>
          <w:sz w:val="24"/>
          <w:szCs w:val="24"/>
        </w:rPr>
        <w:t xml:space="preserve"> yang </w:t>
      </w:r>
      <w:proofErr w:type="spellStart"/>
      <w:r w:rsidR="00BB635F" w:rsidRPr="00B14ED8">
        <w:rPr>
          <w:rFonts w:ascii="Times New Roman" w:eastAsia="Times New Roman" w:hAnsi="Times New Roman" w:cs="Times New Roman"/>
          <w:sz w:val="24"/>
          <w:szCs w:val="24"/>
        </w:rPr>
        <w:t>tidak</w:t>
      </w:r>
      <w:proofErr w:type="spellEnd"/>
      <w:r w:rsidR="00BB635F" w:rsidRPr="00B14ED8">
        <w:rPr>
          <w:rFonts w:ascii="Times New Roman" w:eastAsia="Times New Roman" w:hAnsi="Times New Roman" w:cs="Times New Roman"/>
          <w:sz w:val="24"/>
          <w:szCs w:val="24"/>
        </w:rPr>
        <w:t xml:space="preserve"> </w:t>
      </w:r>
      <w:proofErr w:type="spellStart"/>
      <w:r w:rsidR="00BB635F" w:rsidRPr="00B14ED8">
        <w:rPr>
          <w:rFonts w:ascii="Times New Roman" w:eastAsia="Times New Roman" w:hAnsi="Times New Roman" w:cs="Times New Roman"/>
          <w:sz w:val="24"/>
          <w:szCs w:val="24"/>
        </w:rPr>
        <w:t>diinginkan</w:t>
      </w:r>
      <w:proofErr w:type="spellEnd"/>
      <w:r w:rsidR="00F727D4" w:rsidRPr="00B14ED8">
        <w:rPr>
          <w:rFonts w:ascii="Times New Roman" w:eastAsia="Times New Roman" w:hAnsi="Times New Roman" w:cs="Times New Roman"/>
          <w:sz w:val="24"/>
          <w:szCs w:val="24"/>
        </w:rPr>
        <w:fldChar w:fldCharType="begin" w:fldLock="1"/>
      </w:r>
      <w:r w:rsidR="00992940" w:rsidRPr="00B14ED8">
        <w:rPr>
          <w:rFonts w:ascii="Times New Roman" w:eastAsia="Times New Roman" w:hAnsi="Times New Roman" w:cs="Times New Roman"/>
          <w:sz w:val="24"/>
          <w:szCs w:val="24"/>
        </w:rPr>
        <w:instrText>ADDIN CSL_CITATION {"citationItems":[{"id":"ITEM-1","itemData":{"DOI":"10.1108/JIABR-10-2017-0152","ISSN":"17590825","abstract":"Purpose: In line with the IFSB and BCBS methodology, the purpose of this study is to undertake a comparative analysis of dual banking systems for asset-liability management (ALM) practices with the duration gap, in Islamic Commercial Banks (ICBs) and Conventional Commercial Banks (CCBs). Based on the research objective, two research questions are developed: How do the duration gaps of ICBs compare with those of similar sized CCBs? Are there any country-specific and regional differences among ICBs in terms of managing their duration gaps? Design/methodology/approach: The research methodology comprises two-stages: stage one uses a duration gap model to calculate the duration gaps of ICBs and CCBs; stage two applies parametric tests. In terms of the duration gap model, the study determines the duration gap with a four-step process. The study selected a sample of 100 banks (50 ICBs and 50 CCBs) from 13 countries for the period 2009-2015. Findings: The paper provides empirical insights into the duration gap and ALM of ICBs and CCBs. The ICBs have more variations in their mean duration gap compared to the CCBs, and they have a tendency for a higher (more) mean duration gap (28.37 years) in comparison to the CCBs (11.79 years). The study found ICBs as having 2.41 times more duration gap compared to the CCBs, and they are exposed to increasing rate of return (ROR) risk due to their larger duration gaps and severe liquidity mismatches. There are significant regional differences in terms of the duration gap and asset-liability management. Research limitations/implications: Future studies also consider “Off-Balance Sheet” activities of the ICBs, with multi-term duration measures. A larger sample size of 100 ICBs with 10 years’ data after the GFC would be more beneficial to the industry. In addition, the impact of an increasing benchmark rate (e.g. 100, 200 and 300 bps) on the ICBs as per the IFSB 20 per cent threshold can also be established with the duration gap approach to identify the vulnerabilities of the ICBs. Practical implications: The study makes profound contributions to the literature and suggests various policy recommendations for Islamic banks, regulators, and standard setters of the ICBs, for identifying and measuring the significance of the duration gaps; and management of the ROR risk under Pillar 2 of the BCBS and IFSB, for financial soundness and stability purposes. Originality/value: To the best of the authors’ knowledge, this is a pioneer study…","author":[{"dropping-particle":"","family":"Chattha","given":"Jamshaid Anwar","non-dropping-particle":"","parse-names":false,"suffix":""},{"dropping-particle":"","family":"Alhabshi","given":"Syed Musa","non-dropping-particle":"","parse-names":false,"suffix":""},{"dropping-particle":"","family":"Meera","given":"Ahamed Kameel Mydin","non-dropping-particle":"","parse-names":false,"suffix":""}],"container-title":"Journal of Islamic Accounting and Business Research","id":"ITEM-1","issue":"6","issued":{"date-parts":[["2020"]]},"page":"1257-1300","title":"Risk management with a duration gap approach: Empirical evidence from a cross-country study of dual banking systems","type":"article-journal","volume":"11"},"uris":["http://www.mendeley.com/documents/?uuid=51134f95-c1e5-40cf-b461-fca566715517"]}],"mendeley":{"formattedCitation":"(Chattha et al., 2020)","plainTextFormattedCitation":"(Chattha et al., 2020)","previouslyFormattedCitation":"(Chattha et al., 2020)"},"properties":{"noteIndex":0},"schema":"https://github.com/citation-style-language/schema/raw/master/csl-citation.json"}</w:instrText>
      </w:r>
      <w:r w:rsidR="00F727D4" w:rsidRPr="00B14ED8">
        <w:rPr>
          <w:rFonts w:ascii="Times New Roman" w:eastAsia="Times New Roman" w:hAnsi="Times New Roman" w:cs="Times New Roman"/>
          <w:sz w:val="24"/>
          <w:szCs w:val="24"/>
        </w:rPr>
        <w:fldChar w:fldCharType="separate"/>
      </w:r>
      <w:r w:rsidR="00F727D4" w:rsidRPr="00B14ED8">
        <w:rPr>
          <w:rFonts w:ascii="Times New Roman" w:eastAsia="Times New Roman" w:hAnsi="Times New Roman" w:cs="Times New Roman"/>
          <w:noProof/>
          <w:sz w:val="24"/>
          <w:szCs w:val="24"/>
        </w:rPr>
        <w:t>(Chattha et al., 2020)</w:t>
      </w:r>
      <w:r w:rsidR="00F727D4" w:rsidRPr="00B14ED8">
        <w:rPr>
          <w:rFonts w:ascii="Times New Roman" w:eastAsia="Times New Roman" w:hAnsi="Times New Roman" w:cs="Times New Roman"/>
          <w:sz w:val="24"/>
          <w:szCs w:val="24"/>
        </w:rPr>
        <w:fldChar w:fldCharType="end"/>
      </w:r>
      <w:r w:rsidR="0096000A" w:rsidRPr="00B14ED8">
        <w:rPr>
          <w:rFonts w:ascii="Times New Roman" w:eastAsia="Times New Roman" w:hAnsi="Times New Roman" w:cs="Times New Roman"/>
          <w:sz w:val="24"/>
          <w:szCs w:val="24"/>
        </w:rPr>
        <w:t>.</w:t>
      </w:r>
      <w:r w:rsidR="00007410" w:rsidRPr="00B14ED8">
        <w:rPr>
          <w:rFonts w:ascii="Times New Roman" w:eastAsia="Times New Roman" w:hAnsi="Times New Roman" w:cs="Times New Roman"/>
          <w:sz w:val="24"/>
          <w:szCs w:val="24"/>
        </w:rPr>
        <w:t xml:space="preserve"> </w:t>
      </w:r>
    </w:p>
    <w:p w14:paraId="635D71AF" w14:textId="0D7A86D1" w:rsidR="005623CF" w:rsidRPr="00B14ED8" w:rsidRDefault="007E10C6" w:rsidP="00B14ED8">
      <w:pPr>
        <w:spacing w:after="0" w:line="360" w:lineRule="auto"/>
        <w:ind w:firstLine="567"/>
        <w:jc w:val="both"/>
        <w:rPr>
          <w:rFonts w:ascii="Times New Roman" w:eastAsia="Times New Roman" w:hAnsi="Times New Roman" w:cs="Times New Roman"/>
          <w:sz w:val="24"/>
          <w:szCs w:val="24"/>
        </w:rPr>
      </w:pPr>
      <w:proofErr w:type="spellStart"/>
      <w:r w:rsidRPr="00B14ED8">
        <w:rPr>
          <w:rFonts w:ascii="Times New Roman" w:eastAsia="Times New Roman" w:hAnsi="Times New Roman" w:cs="Times New Roman"/>
          <w:sz w:val="24"/>
          <w:szCs w:val="24"/>
        </w:rPr>
        <w:t>Riset</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ini</w:t>
      </w:r>
      <w:proofErr w:type="spellEnd"/>
      <w:r w:rsidRPr="00B14ED8">
        <w:rPr>
          <w:rFonts w:ascii="Times New Roman" w:eastAsia="Times New Roman" w:hAnsi="Times New Roman" w:cs="Times New Roman"/>
          <w:sz w:val="24"/>
          <w:szCs w:val="24"/>
        </w:rPr>
        <w:t xml:space="preserve"> juga </w:t>
      </w:r>
      <w:proofErr w:type="spellStart"/>
      <w:r w:rsidRPr="00B14ED8">
        <w:rPr>
          <w:rFonts w:ascii="Times New Roman" w:eastAsia="Times New Roman" w:hAnsi="Times New Roman" w:cs="Times New Roman"/>
          <w:sz w:val="24"/>
          <w:szCs w:val="24"/>
        </w:rPr>
        <w:t>merupakan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pengembangan</w:t>
      </w:r>
      <w:proofErr w:type="spellEnd"/>
      <w:r w:rsidRPr="00B14ED8">
        <w:rPr>
          <w:rFonts w:ascii="Times New Roman" w:eastAsia="Times New Roman" w:hAnsi="Times New Roman" w:cs="Times New Roman"/>
          <w:sz w:val="24"/>
          <w:szCs w:val="24"/>
        </w:rPr>
        <w:t xml:space="preserve"> pada </w:t>
      </w:r>
      <w:proofErr w:type="spellStart"/>
      <w:r w:rsidRPr="00B14ED8">
        <w:rPr>
          <w:rFonts w:ascii="Times New Roman" w:eastAsia="Times New Roman" w:hAnsi="Times New Roman" w:cs="Times New Roman"/>
          <w:sz w:val="24"/>
          <w:szCs w:val="24"/>
        </w:rPr>
        <w:t>riset</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sebelumnya</w:t>
      </w:r>
      <w:proofErr w:type="spellEnd"/>
      <w:r w:rsidRPr="00B14ED8">
        <w:rPr>
          <w:rFonts w:ascii="Times New Roman" w:eastAsia="Times New Roman" w:hAnsi="Times New Roman" w:cs="Times New Roman"/>
          <w:sz w:val="24"/>
          <w:szCs w:val="24"/>
        </w:rPr>
        <w:t xml:space="preserve"> oleh</w:t>
      </w:r>
      <w:r w:rsidR="000D2F59" w:rsidRPr="00B14ED8">
        <w:rPr>
          <w:rFonts w:ascii="Times New Roman" w:eastAsia="Times New Roman" w:hAnsi="Times New Roman" w:cs="Times New Roman"/>
          <w:sz w:val="24"/>
          <w:szCs w:val="24"/>
        </w:rPr>
        <w:fldChar w:fldCharType="begin" w:fldLock="1"/>
      </w:r>
      <w:r w:rsidR="00970170" w:rsidRPr="00B14ED8">
        <w:rPr>
          <w:rFonts w:ascii="Times New Roman" w:eastAsia="Times New Roman" w:hAnsi="Times New Roman" w:cs="Times New Roman"/>
          <w:sz w:val="24"/>
          <w:szCs w:val="24"/>
        </w:rPr>
        <w:instrText>ADDIN CSL_CITATION {"citationItems":[{"id":"ITEM-1","itemData":{"author":[{"dropping-particle":"","family":"Fajar","given":"Maulana","non-dropping-particle":"","parse-names":false,"suffix":""},{"dropping-particle":"","family":"Mutamimah","given":"","non-dropping-particle":"","parse-names":false,"suffix":""}],"container-title":"EKOBIS","id":"ITEM-1","issue":"2","issued":{"date-parts":[["2023"]]},"page":"117 - 153","title":"PENURUNAN NON PERFORMING FINANCING BERBASIS ENTERPRISE RISK MANAGEMENT","type":"article-journal","volume":"24"},"uris":["http://www.mendeley.com/documents/?uuid=fbbb640a-31c7-4cad-8dc9-ec1c9dceacb8"]}],"mendeley":{"formattedCitation":"(Fajar &amp; Mutamimah, 2023)","manualFormatting":" Fajar &amp; Mutamimah (2023)","plainTextFormattedCitation":"(Fajar &amp; Mutamimah, 2023)","previouslyFormattedCitation":"(Fajar &amp; Mutamimah, 2023)"},"properties":{"noteIndex":0},"schema":"https://github.com/citation-style-language/schema/raw/master/csl-citation.json"}</w:instrText>
      </w:r>
      <w:r w:rsidR="000D2F59" w:rsidRPr="00B14ED8">
        <w:rPr>
          <w:rFonts w:ascii="Times New Roman" w:eastAsia="Times New Roman" w:hAnsi="Times New Roman" w:cs="Times New Roman"/>
          <w:sz w:val="24"/>
          <w:szCs w:val="24"/>
        </w:rPr>
        <w:fldChar w:fldCharType="separate"/>
      </w:r>
      <w:r w:rsidR="000D2F59" w:rsidRPr="00B14ED8">
        <w:rPr>
          <w:rFonts w:ascii="Times New Roman" w:eastAsia="Times New Roman" w:hAnsi="Times New Roman" w:cs="Times New Roman"/>
          <w:noProof/>
          <w:sz w:val="24"/>
          <w:szCs w:val="24"/>
        </w:rPr>
        <w:t xml:space="preserve"> Fajar &amp; Mutamimah (2023)</w:t>
      </w:r>
      <w:r w:rsidR="000D2F59" w:rsidRPr="00B14ED8">
        <w:rPr>
          <w:rFonts w:ascii="Times New Roman" w:eastAsia="Times New Roman" w:hAnsi="Times New Roman" w:cs="Times New Roman"/>
          <w:sz w:val="24"/>
          <w:szCs w:val="24"/>
        </w:rPr>
        <w:fldChar w:fldCharType="end"/>
      </w:r>
      <w:r w:rsidR="000D2F59" w:rsidRPr="00B14ED8">
        <w:rPr>
          <w:rFonts w:ascii="Times New Roman" w:eastAsia="Times New Roman" w:hAnsi="Times New Roman" w:cs="Times New Roman"/>
          <w:sz w:val="24"/>
          <w:szCs w:val="24"/>
        </w:rPr>
        <w:t xml:space="preserve">. </w:t>
      </w:r>
      <w:proofErr w:type="spellStart"/>
      <w:r w:rsidR="000D2F59" w:rsidRPr="00B14ED8">
        <w:rPr>
          <w:rFonts w:ascii="Times New Roman" w:eastAsia="Times New Roman" w:hAnsi="Times New Roman" w:cs="Times New Roman"/>
          <w:sz w:val="24"/>
          <w:szCs w:val="24"/>
        </w:rPr>
        <w:t>Perbedaan</w:t>
      </w:r>
      <w:proofErr w:type="spellEnd"/>
      <w:r w:rsidR="000D2F59" w:rsidRPr="00B14ED8">
        <w:rPr>
          <w:rFonts w:ascii="Times New Roman" w:eastAsia="Times New Roman" w:hAnsi="Times New Roman" w:cs="Times New Roman"/>
          <w:sz w:val="24"/>
          <w:szCs w:val="24"/>
        </w:rPr>
        <w:t xml:space="preserve"> yang </w:t>
      </w:r>
      <w:proofErr w:type="spellStart"/>
      <w:r w:rsidR="000D2F59" w:rsidRPr="00B14ED8">
        <w:rPr>
          <w:rFonts w:ascii="Times New Roman" w:eastAsia="Times New Roman" w:hAnsi="Times New Roman" w:cs="Times New Roman"/>
          <w:sz w:val="24"/>
          <w:szCs w:val="24"/>
        </w:rPr>
        <w:t>terdapat</w:t>
      </w:r>
      <w:proofErr w:type="spellEnd"/>
      <w:r w:rsidR="000D2F59" w:rsidRPr="00B14ED8">
        <w:rPr>
          <w:rFonts w:ascii="Times New Roman" w:eastAsia="Times New Roman" w:hAnsi="Times New Roman" w:cs="Times New Roman"/>
          <w:sz w:val="24"/>
          <w:szCs w:val="24"/>
        </w:rPr>
        <w:t xml:space="preserve"> pada </w:t>
      </w:r>
      <w:proofErr w:type="spellStart"/>
      <w:r w:rsidR="000D2F59" w:rsidRPr="00B14ED8">
        <w:rPr>
          <w:rFonts w:ascii="Times New Roman" w:eastAsia="Times New Roman" w:hAnsi="Times New Roman" w:cs="Times New Roman"/>
          <w:sz w:val="24"/>
          <w:szCs w:val="24"/>
        </w:rPr>
        <w:t>penelitian</w:t>
      </w:r>
      <w:proofErr w:type="spellEnd"/>
      <w:r w:rsidR="000D2F59" w:rsidRPr="00B14ED8">
        <w:rPr>
          <w:rFonts w:ascii="Times New Roman" w:eastAsia="Times New Roman" w:hAnsi="Times New Roman" w:cs="Times New Roman"/>
          <w:sz w:val="24"/>
          <w:szCs w:val="24"/>
        </w:rPr>
        <w:t xml:space="preserve"> </w:t>
      </w:r>
      <w:proofErr w:type="spellStart"/>
      <w:r w:rsidR="000D2F59" w:rsidRPr="00B14ED8">
        <w:rPr>
          <w:rFonts w:ascii="Times New Roman" w:eastAsia="Times New Roman" w:hAnsi="Times New Roman" w:cs="Times New Roman"/>
          <w:sz w:val="24"/>
          <w:szCs w:val="24"/>
        </w:rPr>
        <w:t>ini</w:t>
      </w:r>
      <w:proofErr w:type="spellEnd"/>
      <w:r w:rsidR="000D2F59" w:rsidRPr="00B14ED8">
        <w:rPr>
          <w:rFonts w:ascii="Times New Roman" w:eastAsia="Times New Roman" w:hAnsi="Times New Roman" w:cs="Times New Roman"/>
          <w:sz w:val="24"/>
          <w:szCs w:val="24"/>
        </w:rPr>
        <w:t xml:space="preserve"> </w:t>
      </w:r>
      <w:proofErr w:type="spellStart"/>
      <w:r w:rsidR="000D2F59" w:rsidRPr="00B14ED8">
        <w:rPr>
          <w:rFonts w:ascii="Times New Roman" w:eastAsia="Times New Roman" w:hAnsi="Times New Roman" w:cs="Times New Roman"/>
          <w:sz w:val="24"/>
          <w:szCs w:val="24"/>
        </w:rPr>
        <w:t>adalah</w:t>
      </w:r>
      <w:proofErr w:type="spellEnd"/>
      <w:r w:rsidR="000D2F59" w:rsidRPr="00B14ED8">
        <w:rPr>
          <w:rFonts w:ascii="Times New Roman" w:eastAsia="Times New Roman" w:hAnsi="Times New Roman" w:cs="Times New Roman"/>
          <w:sz w:val="24"/>
          <w:szCs w:val="24"/>
        </w:rPr>
        <w:t xml:space="preserve"> </w:t>
      </w:r>
      <w:proofErr w:type="spellStart"/>
      <w:r w:rsidR="00B832C1" w:rsidRPr="00B14ED8">
        <w:rPr>
          <w:rFonts w:ascii="Times New Roman" w:eastAsia="Times New Roman" w:hAnsi="Times New Roman" w:cs="Times New Roman"/>
          <w:sz w:val="24"/>
          <w:szCs w:val="24"/>
        </w:rPr>
        <w:t>mengerucutkan</w:t>
      </w:r>
      <w:proofErr w:type="spellEnd"/>
      <w:r w:rsidR="00B832C1" w:rsidRPr="00B14ED8">
        <w:rPr>
          <w:rFonts w:ascii="Times New Roman" w:eastAsia="Times New Roman" w:hAnsi="Times New Roman" w:cs="Times New Roman"/>
          <w:sz w:val="24"/>
          <w:szCs w:val="24"/>
        </w:rPr>
        <w:t xml:space="preserve"> </w:t>
      </w:r>
      <w:proofErr w:type="spellStart"/>
      <w:r w:rsidR="000D2F59" w:rsidRPr="00B14ED8">
        <w:rPr>
          <w:rFonts w:ascii="Times New Roman" w:eastAsia="Times New Roman" w:hAnsi="Times New Roman" w:cs="Times New Roman"/>
          <w:sz w:val="24"/>
          <w:szCs w:val="24"/>
        </w:rPr>
        <w:t>analisis</w:t>
      </w:r>
      <w:proofErr w:type="spellEnd"/>
      <w:r w:rsidR="00B832C1" w:rsidRPr="00B14ED8">
        <w:rPr>
          <w:rFonts w:ascii="Times New Roman" w:eastAsia="Times New Roman" w:hAnsi="Times New Roman" w:cs="Times New Roman"/>
          <w:sz w:val="24"/>
          <w:szCs w:val="24"/>
        </w:rPr>
        <w:t xml:space="preserve"> pada </w:t>
      </w:r>
      <w:proofErr w:type="spellStart"/>
      <w:r w:rsidR="00B832C1" w:rsidRPr="00B14ED8">
        <w:rPr>
          <w:rFonts w:ascii="Times New Roman" w:eastAsia="Times New Roman" w:hAnsi="Times New Roman" w:cs="Times New Roman"/>
          <w:sz w:val="24"/>
          <w:szCs w:val="24"/>
        </w:rPr>
        <w:t>sistem</w:t>
      </w:r>
      <w:proofErr w:type="spellEnd"/>
      <w:r w:rsidR="000D2F59" w:rsidRPr="00B14ED8">
        <w:rPr>
          <w:rFonts w:ascii="Times New Roman" w:eastAsia="Times New Roman" w:hAnsi="Times New Roman" w:cs="Times New Roman"/>
          <w:sz w:val="24"/>
          <w:szCs w:val="24"/>
        </w:rPr>
        <w:t xml:space="preserve"> PLS</w:t>
      </w:r>
      <w:r w:rsidR="00B832C1" w:rsidRPr="00B14ED8">
        <w:rPr>
          <w:rFonts w:ascii="Times New Roman" w:eastAsia="Times New Roman" w:hAnsi="Times New Roman" w:cs="Times New Roman"/>
          <w:sz w:val="24"/>
          <w:szCs w:val="24"/>
        </w:rPr>
        <w:t xml:space="preserve"> (</w:t>
      </w:r>
      <w:proofErr w:type="spellStart"/>
      <w:r w:rsidR="00B832C1" w:rsidRPr="00B14ED8">
        <w:rPr>
          <w:rFonts w:ascii="Times New Roman" w:eastAsia="Times New Roman" w:hAnsi="Times New Roman" w:cs="Times New Roman"/>
          <w:i/>
          <w:iCs/>
          <w:sz w:val="24"/>
          <w:szCs w:val="24"/>
        </w:rPr>
        <w:t>mudharabah</w:t>
      </w:r>
      <w:proofErr w:type="spellEnd"/>
      <w:r w:rsidR="00B832C1" w:rsidRPr="00B14ED8">
        <w:rPr>
          <w:rFonts w:ascii="Times New Roman" w:eastAsia="Times New Roman" w:hAnsi="Times New Roman" w:cs="Times New Roman"/>
          <w:i/>
          <w:iCs/>
          <w:sz w:val="24"/>
          <w:szCs w:val="24"/>
        </w:rPr>
        <w:t xml:space="preserve"> </w:t>
      </w:r>
      <w:r w:rsidR="00B832C1" w:rsidRPr="00B14ED8">
        <w:rPr>
          <w:rFonts w:ascii="Times New Roman" w:eastAsia="Times New Roman" w:hAnsi="Times New Roman" w:cs="Times New Roman"/>
          <w:sz w:val="24"/>
          <w:szCs w:val="24"/>
        </w:rPr>
        <w:t xml:space="preserve">dan </w:t>
      </w:r>
      <w:proofErr w:type="spellStart"/>
      <w:r w:rsidR="00B832C1" w:rsidRPr="00B14ED8">
        <w:rPr>
          <w:rFonts w:ascii="Times New Roman" w:eastAsia="Times New Roman" w:hAnsi="Times New Roman" w:cs="Times New Roman"/>
          <w:i/>
          <w:iCs/>
          <w:sz w:val="24"/>
          <w:szCs w:val="24"/>
        </w:rPr>
        <w:t>musyarakah</w:t>
      </w:r>
      <w:proofErr w:type="spellEnd"/>
      <w:r w:rsidR="00B832C1" w:rsidRPr="00B14ED8">
        <w:rPr>
          <w:rFonts w:ascii="Times New Roman" w:eastAsia="Times New Roman" w:hAnsi="Times New Roman" w:cs="Times New Roman"/>
          <w:sz w:val="24"/>
          <w:szCs w:val="24"/>
        </w:rPr>
        <w:t>)</w:t>
      </w:r>
      <w:r w:rsidR="007F17AA" w:rsidRPr="00B14ED8">
        <w:rPr>
          <w:rFonts w:ascii="Times New Roman" w:eastAsia="Times New Roman" w:hAnsi="Times New Roman" w:cs="Times New Roman"/>
          <w:sz w:val="24"/>
          <w:szCs w:val="24"/>
        </w:rPr>
        <w:t xml:space="preserve">, </w:t>
      </w:r>
      <w:proofErr w:type="spellStart"/>
      <w:r w:rsidR="007F17AA" w:rsidRPr="00B14ED8">
        <w:rPr>
          <w:rFonts w:ascii="Times New Roman" w:eastAsia="Times New Roman" w:hAnsi="Times New Roman" w:cs="Times New Roman"/>
          <w:sz w:val="24"/>
          <w:szCs w:val="24"/>
        </w:rPr>
        <w:t>serta</w:t>
      </w:r>
      <w:proofErr w:type="spellEnd"/>
      <w:r w:rsidR="007F17AA" w:rsidRPr="00B14ED8">
        <w:rPr>
          <w:rFonts w:ascii="Times New Roman" w:eastAsia="Times New Roman" w:hAnsi="Times New Roman" w:cs="Times New Roman"/>
          <w:sz w:val="24"/>
          <w:szCs w:val="24"/>
        </w:rPr>
        <w:t xml:space="preserve"> </w:t>
      </w:r>
      <w:proofErr w:type="spellStart"/>
      <w:r w:rsidR="00991838" w:rsidRPr="00B14ED8">
        <w:rPr>
          <w:rFonts w:ascii="Times New Roman" w:eastAsia="Times New Roman" w:hAnsi="Times New Roman" w:cs="Times New Roman"/>
          <w:sz w:val="24"/>
          <w:szCs w:val="24"/>
        </w:rPr>
        <w:t>analisis</w:t>
      </w:r>
      <w:proofErr w:type="spellEnd"/>
      <w:r w:rsidR="00991838" w:rsidRPr="00B14ED8">
        <w:rPr>
          <w:rFonts w:ascii="Times New Roman" w:eastAsia="Times New Roman" w:hAnsi="Times New Roman" w:cs="Times New Roman"/>
          <w:sz w:val="24"/>
          <w:szCs w:val="24"/>
        </w:rPr>
        <w:t xml:space="preserve"> </w:t>
      </w:r>
      <w:proofErr w:type="spellStart"/>
      <w:r w:rsidR="00991838" w:rsidRPr="00B14ED8">
        <w:rPr>
          <w:rFonts w:ascii="Times New Roman" w:eastAsia="Times New Roman" w:hAnsi="Times New Roman" w:cs="Times New Roman"/>
          <w:sz w:val="24"/>
          <w:szCs w:val="24"/>
        </w:rPr>
        <w:t>dilakukan</w:t>
      </w:r>
      <w:proofErr w:type="spellEnd"/>
      <w:r w:rsidR="00991838" w:rsidRPr="00B14ED8">
        <w:rPr>
          <w:rFonts w:ascii="Times New Roman" w:eastAsia="Times New Roman" w:hAnsi="Times New Roman" w:cs="Times New Roman"/>
          <w:sz w:val="24"/>
          <w:szCs w:val="24"/>
        </w:rPr>
        <w:t xml:space="preserve"> pada </w:t>
      </w:r>
      <w:proofErr w:type="spellStart"/>
      <w:r w:rsidR="00991838" w:rsidRPr="00B14ED8">
        <w:rPr>
          <w:rFonts w:ascii="Times New Roman" w:eastAsia="Times New Roman" w:hAnsi="Times New Roman" w:cs="Times New Roman"/>
          <w:sz w:val="24"/>
          <w:szCs w:val="24"/>
        </w:rPr>
        <w:t>pengaruh</w:t>
      </w:r>
      <w:proofErr w:type="spellEnd"/>
      <w:r w:rsidR="00991838" w:rsidRPr="00B14ED8">
        <w:rPr>
          <w:rFonts w:ascii="Times New Roman" w:eastAsia="Times New Roman" w:hAnsi="Times New Roman" w:cs="Times New Roman"/>
          <w:sz w:val="24"/>
          <w:szCs w:val="24"/>
        </w:rPr>
        <w:t xml:space="preserve"> </w:t>
      </w:r>
      <w:proofErr w:type="spellStart"/>
      <w:r w:rsidR="00991838" w:rsidRPr="00B14ED8">
        <w:rPr>
          <w:rFonts w:ascii="Times New Roman" w:eastAsia="Times New Roman" w:hAnsi="Times New Roman" w:cs="Times New Roman"/>
          <w:sz w:val="24"/>
          <w:szCs w:val="24"/>
        </w:rPr>
        <w:t>langsung</w:t>
      </w:r>
      <w:proofErr w:type="spellEnd"/>
      <w:r w:rsidR="00D91385" w:rsidRPr="00B14ED8">
        <w:rPr>
          <w:rFonts w:ascii="Times New Roman" w:eastAsia="Times New Roman" w:hAnsi="Times New Roman" w:cs="Times New Roman"/>
          <w:sz w:val="24"/>
          <w:szCs w:val="24"/>
        </w:rPr>
        <w:t xml:space="preserve"> </w:t>
      </w:r>
      <w:proofErr w:type="spellStart"/>
      <w:r w:rsidR="00D91385" w:rsidRPr="00B14ED8">
        <w:rPr>
          <w:rFonts w:ascii="Times New Roman" w:eastAsia="Times New Roman" w:hAnsi="Times New Roman" w:cs="Times New Roman"/>
          <w:sz w:val="24"/>
          <w:szCs w:val="24"/>
        </w:rPr>
        <w:t>antara</w:t>
      </w:r>
      <w:proofErr w:type="spellEnd"/>
      <w:r w:rsidR="00D91385" w:rsidRPr="00B14ED8">
        <w:rPr>
          <w:rFonts w:ascii="Times New Roman" w:eastAsia="Times New Roman" w:hAnsi="Times New Roman" w:cs="Times New Roman"/>
          <w:sz w:val="24"/>
          <w:szCs w:val="24"/>
        </w:rPr>
        <w:t xml:space="preserve"> </w:t>
      </w:r>
      <w:proofErr w:type="spellStart"/>
      <w:r w:rsidR="00D91385" w:rsidRPr="00B14ED8">
        <w:rPr>
          <w:rFonts w:ascii="Times New Roman" w:eastAsia="Times New Roman" w:hAnsi="Times New Roman" w:cs="Times New Roman"/>
          <w:sz w:val="24"/>
          <w:szCs w:val="24"/>
        </w:rPr>
        <w:t>sistem</w:t>
      </w:r>
      <w:proofErr w:type="spellEnd"/>
      <w:r w:rsidR="00D91385" w:rsidRPr="00B14ED8">
        <w:rPr>
          <w:rFonts w:ascii="Times New Roman" w:eastAsia="Times New Roman" w:hAnsi="Times New Roman" w:cs="Times New Roman"/>
          <w:sz w:val="24"/>
          <w:szCs w:val="24"/>
        </w:rPr>
        <w:t xml:space="preserve"> PLS</w:t>
      </w:r>
      <w:r w:rsidR="007F17AA" w:rsidRPr="00B14ED8">
        <w:rPr>
          <w:rFonts w:ascii="Times New Roman" w:eastAsia="Times New Roman" w:hAnsi="Times New Roman" w:cs="Times New Roman"/>
          <w:sz w:val="24"/>
          <w:szCs w:val="24"/>
        </w:rPr>
        <w:t xml:space="preserve"> </w:t>
      </w:r>
      <w:proofErr w:type="spellStart"/>
      <w:r w:rsidR="007F17AA" w:rsidRPr="00B14ED8">
        <w:rPr>
          <w:rFonts w:ascii="Times New Roman" w:eastAsia="Times New Roman" w:hAnsi="Times New Roman" w:cs="Times New Roman"/>
          <w:sz w:val="24"/>
          <w:szCs w:val="24"/>
        </w:rPr>
        <w:t>dengan</w:t>
      </w:r>
      <w:proofErr w:type="spellEnd"/>
      <w:r w:rsidR="000D2F59" w:rsidRPr="00B14ED8">
        <w:rPr>
          <w:rFonts w:ascii="Times New Roman" w:eastAsia="Times New Roman" w:hAnsi="Times New Roman" w:cs="Times New Roman"/>
          <w:sz w:val="24"/>
          <w:szCs w:val="24"/>
        </w:rPr>
        <w:t xml:space="preserve"> </w:t>
      </w:r>
      <w:proofErr w:type="spellStart"/>
      <w:r w:rsidR="000D2F59" w:rsidRPr="00B14ED8">
        <w:rPr>
          <w:rFonts w:ascii="Times New Roman" w:eastAsia="Times New Roman" w:hAnsi="Times New Roman" w:cs="Times New Roman"/>
          <w:sz w:val="24"/>
          <w:szCs w:val="24"/>
        </w:rPr>
        <w:t>kinerja</w:t>
      </w:r>
      <w:proofErr w:type="spellEnd"/>
      <w:r w:rsidR="000D2F59" w:rsidRPr="00B14ED8">
        <w:rPr>
          <w:rFonts w:ascii="Times New Roman" w:eastAsia="Times New Roman" w:hAnsi="Times New Roman" w:cs="Times New Roman"/>
          <w:sz w:val="24"/>
          <w:szCs w:val="24"/>
        </w:rPr>
        <w:t xml:space="preserve"> </w:t>
      </w:r>
      <w:proofErr w:type="spellStart"/>
      <w:r w:rsidR="000D2F59" w:rsidRPr="00B14ED8">
        <w:rPr>
          <w:rFonts w:ascii="Times New Roman" w:eastAsia="Times New Roman" w:hAnsi="Times New Roman" w:cs="Times New Roman"/>
          <w:sz w:val="24"/>
          <w:szCs w:val="24"/>
        </w:rPr>
        <w:t>keuangan</w:t>
      </w:r>
      <w:proofErr w:type="spellEnd"/>
      <w:r w:rsidR="000D2F59" w:rsidRPr="00B14ED8">
        <w:rPr>
          <w:rFonts w:ascii="Times New Roman" w:eastAsia="Times New Roman" w:hAnsi="Times New Roman" w:cs="Times New Roman"/>
          <w:sz w:val="24"/>
          <w:szCs w:val="24"/>
        </w:rPr>
        <w:t xml:space="preserve"> </w:t>
      </w:r>
      <w:proofErr w:type="spellStart"/>
      <w:r w:rsidR="000D2F59" w:rsidRPr="00B14ED8">
        <w:rPr>
          <w:rFonts w:ascii="Times New Roman" w:eastAsia="Times New Roman" w:hAnsi="Times New Roman" w:cs="Times New Roman"/>
          <w:sz w:val="24"/>
          <w:szCs w:val="24"/>
        </w:rPr>
        <w:t>tanpa</w:t>
      </w:r>
      <w:proofErr w:type="spellEnd"/>
      <w:r w:rsidR="000D2F59" w:rsidRPr="00B14ED8">
        <w:rPr>
          <w:rFonts w:ascii="Times New Roman" w:eastAsia="Times New Roman" w:hAnsi="Times New Roman" w:cs="Times New Roman"/>
          <w:sz w:val="24"/>
          <w:szCs w:val="24"/>
        </w:rPr>
        <w:t xml:space="preserve"> </w:t>
      </w:r>
      <w:proofErr w:type="spellStart"/>
      <w:r w:rsidR="000D2F59" w:rsidRPr="00B14ED8">
        <w:rPr>
          <w:rFonts w:ascii="Times New Roman" w:eastAsia="Times New Roman" w:hAnsi="Times New Roman" w:cs="Times New Roman"/>
          <w:sz w:val="24"/>
          <w:szCs w:val="24"/>
        </w:rPr>
        <w:t>disertai</w:t>
      </w:r>
      <w:proofErr w:type="spellEnd"/>
      <w:r w:rsidR="000D2F59" w:rsidRPr="00B14ED8">
        <w:rPr>
          <w:rFonts w:ascii="Times New Roman" w:eastAsia="Times New Roman" w:hAnsi="Times New Roman" w:cs="Times New Roman"/>
          <w:sz w:val="24"/>
          <w:szCs w:val="24"/>
        </w:rPr>
        <w:t xml:space="preserve"> NPF (</w:t>
      </w:r>
      <w:r w:rsidR="000D2F59" w:rsidRPr="00B14ED8">
        <w:rPr>
          <w:rFonts w:ascii="Times New Roman" w:eastAsia="Times New Roman" w:hAnsi="Times New Roman" w:cs="Times New Roman"/>
          <w:i/>
          <w:iCs/>
          <w:sz w:val="24"/>
          <w:szCs w:val="24"/>
        </w:rPr>
        <w:t>non performing financing</w:t>
      </w:r>
      <w:r w:rsidR="000D2F59" w:rsidRPr="00B14ED8">
        <w:rPr>
          <w:rFonts w:ascii="Times New Roman" w:eastAsia="Times New Roman" w:hAnsi="Times New Roman" w:cs="Times New Roman"/>
          <w:sz w:val="24"/>
          <w:szCs w:val="24"/>
        </w:rPr>
        <w:t>)</w:t>
      </w:r>
      <w:r w:rsidR="002F29EE" w:rsidRPr="00B14ED8">
        <w:rPr>
          <w:rFonts w:ascii="Times New Roman" w:eastAsia="Times New Roman" w:hAnsi="Times New Roman" w:cs="Times New Roman"/>
          <w:sz w:val="24"/>
          <w:szCs w:val="24"/>
        </w:rPr>
        <w:t xml:space="preserve"> </w:t>
      </w:r>
      <w:proofErr w:type="spellStart"/>
      <w:r w:rsidR="002F29EE" w:rsidRPr="00B14ED8">
        <w:rPr>
          <w:rFonts w:ascii="Times New Roman" w:eastAsia="Times New Roman" w:hAnsi="Times New Roman" w:cs="Times New Roman"/>
          <w:sz w:val="24"/>
          <w:szCs w:val="24"/>
        </w:rPr>
        <w:t>sebagai</w:t>
      </w:r>
      <w:proofErr w:type="spellEnd"/>
      <w:r w:rsidR="002F29EE" w:rsidRPr="00B14ED8">
        <w:rPr>
          <w:rFonts w:ascii="Times New Roman" w:eastAsia="Times New Roman" w:hAnsi="Times New Roman" w:cs="Times New Roman"/>
          <w:sz w:val="24"/>
          <w:szCs w:val="24"/>
        </w:rPr>
        <w:t xml:space="preserve"> </w:t>
      </w:r>
      <w:proofErr w:type="spellStart"/>
      <w:r w:rsidR="002F29EE" w:rsidRPr="00B14ED8">
        <w:rPr>
          <w:rFonts w:ascii="Times New Roman" w:eastAsia="Times New Roman" w:hAnsi="Times New Roman" w:cs="Times New Roman"/>
          <w:sz w:val="24"/>
          <w:szCs w:val="24"/>
        </w:rPr>
        <w:t>mediasi</w:t>
      </w:r>
      <w:proofErr w:type="spellEnd"/>
      <w:r w:rsidR="004352B4" w:rsidRPr="00B14ED8">
        <w:rPr>
          <w:rFonts w:ascii="Times New Roman" w:eastAsia="Times New Roman" w:hAnsi="Times New Roman" w:cs="Times New Roman"/>
          <w:sz w:val="24"/>
          <w:szCs w:val="24"/>
        </w:rPr>
        <w:t xml:space="preserve">. </w:t>
      </w:r>
    </w:p>
    <w:p w14:paraId="6591668A" w14:textId="77777777" w:rsidR="001C6BCB" w:rsidRPr="00B14ED8" w:rsidRDefault="001C6BCB" w:rsidP="00B14ED8">
      <w:pPr>
        <w:spacing w:after="0" w:line="360" w:lineRule="auto"/>
        <w:ind w:firstLine="567"/>
        <w:jc w:val="both"/>
        <w:rPr>
          <w:rFonts w:ascii="Times New Roman" w:eastAsia="Times New Roman" w:hAnsi="Times New Roman" w:cs="Times New Roman"/>
          <w:sz w:val="24"/>
          <w:szCs w:val="24"/>
        </w:rPr>
      </w:pPr>
    </w:p>
    <w:p w14:paraId="22965AFC" w14:textId="77777777" w:rsidR="001C6BCB" w:rsidRPr="00B14ED8" w:rsidRDefault="001C6BCB" w:rsidP="00B14ED8">
      <w:pPr>
        <w:spacing w:after="0" w:line="360" w:lineRule="auto"/>
        <w:ind w:firstLine="567"/>
        <w:jc w:val="both"/>
        <w:rPr>
          <w:rFonts w:ascii="Times New Roman" w:eastAsia="Times New Roman" w:hAnsi="Times New Roman" w:cs="Times New Roman"/>
          <w:sz w:val="24"/>
          <w:szCs w:val="24"/>
        </w:rPr>
      </w:pPr>
    </w:p>
    <w:p w14:paraId="74D34DB9" w14:textId="45751CAD" w:rsidR="005111AC" w:rsidRPr="00B14ED8" w:rsidRDefault="00D46250" w:rsidP="00B14ED8">
      <w:pPr>
        <w:tabs>
          <w:tab w:val="left" w:pos="567"/>
        </w:tabs>
        <w:spacing w:after="0" w:line="360" w:lineRule="auto"/>
        <w:jc w:val="both"/>
        <w:rPr>
          <w:rFonts w:ascii="Times New Roman" w:eastAsia="Times New Roman" w:hAnsi="Times New Roman" w:cs="Times New Roman"/>
          <w:b/>
          <w:sz w:val="24"/>
          <w:szCs w:val="24"/>
        </w:rPr>
      </w:pPr>
      <w:r w:rsidRPr="00B14ED8">
        <w:rPr>
          <w:rFonts w:ascii="Times New Roman" w:eastAsia="Times New Roman" w:hAnsi="Times New Roman" w:cs="Times New Roman"/>
          <w:b/>
          <w:sz w:val="24"/>
          <w:szCs w:val="24"/>
        </w:rPr>
        <w:t>B.</w:t>
      </w:r>
      <w:r w:rsidRPr="00B14ED8">
        <w:rPr>
          <w:rFonts w:ascii="Times New Roman" w:eastAsia="Times New Roman" w:hAnsi="Times New Roman" w:cs="Times New Roman"/>
          <w:b/>
          <w:sz w:val="24"/>
          <w:szCs w:val="24"/>
        </w:rPr>
        <w:tab/>
        <w:t>TELAAH PUSTAKA</w:t>
      </w:r>
    </w:p>
    <w:p w14:paraId="7EDAD039" w14:textId="73C2AA01" w:rsidR="000E2F30" w:rsidRPr="00B14ED8" w:rsidRDefault="00A75005" w:rsidP="00B14ED8">
      <w:pPr>
        <w:tabs>
          <w:tab w:val="left" w:pos="567"/>
        </w:tabs>
        <w:spacing w:after="0" w:line="360" w:lineRule="auto"/>
        <w:jc w:val="both"/>
        <w:rPr>
          <w:rFonts w:ascii="Times New Roman" w:eastAsia="Times New Roman" w:hAnsi="Times New Roman" w:cs="Times New Roman"/>
          <w:b/>
          <w:bCs/>
          <w:sz w:val="24"/>
          <w:szCs w:val="24"/>
        </w:rPr>
      </w:pPr>
      <w:proofErr w:type="spellStart"/>
      <w:r w:rsidRPr="00B14ED8">
        <w:rPr>
          <w:rFonts w:ascii="Times New Roman" w:eastAsia="Times New Roman" w:hAnsi="Times New Roman" w:cs="Times New Roman"/>
          <w:b/>
          <w:bCs/>
          <w:sz w:val="24"/>
          <w:szCs w:val="24"/>
        </w:rPr>
        <w:t>Teori</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Asimetri</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Informasi</w:t>
      </w:r>
      <w:proofErr w:type="spellEnd"/>
      <w:r w:rsidRPr="00B14ED8">
        <w:rPr>
          <w:rFonts w:ascii="Times New Roman" w:eastAsia="Times New Roman" w:hAnsi="Times New Roman" w:cs="Times New Roman"/>
          <w:b/>
          <w:bCs/>
          <w:sz w:val="24"/>
          <w:szCs w:val="24"/>
        </w:rPr>
        <w:t xml:space="preserve"> (</w:t>
      </w:r>
      <w:r w:rsidRPr="00B14ED8">
        <w:rPr>
          <w:rFonts w:ascii="Times New Roman" w:eastAsia="Times New Roman" w:hAnsi="Times New Roman" w:cs="Times New Roman"/>
          <w:b/>
          <w:bCs/>
          <w:i/>
          <w:iCs/>
          <w:sz w:val="24"/>
          <w:szCs w:val="24"/>
        </w:rPr>
        <w:t>Asymmetric Theory</w:t>
      </w:r>
      <w:r w:rsidRPr="00B14ED8">
        <w:rPr>
          <w:rFonts w:ascii="Times New Roman" w:eastAsia="Times New Roman" w:hAnsi="Times New Roman" w:cs="Times New Roman"/>
          <w:b/>
          <w:bCs/>
          <w:sz w:val="24"/>
          <w:szCs w:val="24"/>
        </w:rPr>
        <w:t>)</w:t>
      </w:r>
    </w:p>
    <w:p w14:paraId="18F32A09" w14:textId="2AF2E33A" w:rsidR="009C0AC4" w:rsidRPr="00B14ED8" w:rsidRDefault="00D46250" w:rsidP="00B14ED8">
      <w:pPr>
        <w:tabs>
          <w:tab w:val="left" w:pos="567"/>
        </w:tabs>
        <w:spacing w:after="0" w:line="360" w:lineRule="auto"/>
        <w:jc w:val="both"/>
        <w:rPr>
          <w:rFonts w:ascii="Times New Roman" w:eastAsia="Times New Roman" w:hAnsi="Times New Roman" w:cs="Times New Roman"/>
          <w:sz w:val="24"/>
          <w:szCs w:val="24"/>
        </w:rPr>
      </w:pPr>
      <w:r w:rsidRPr="00B14ED8">
        <w:rPr>
          <w:rFonts w:ascii="Times New Roman" w:eastAsia="Times New Roman" w:hAnsi="Times New Roman" w:cs="Times New Roman"/>
          <w:sz w:val="24"/>
          <w:szCs w:val="24"/>
        </w:rPr>
        <w:tab/>
      </w:r>
      <w:proofErr w:type="spellStart"/>
      <w:r w:rsidR="009C0AC4" w:rsidRPr="00B14ED8">
        <w:rPr>
          <w:rFonts w:ascii="Times New Roman" w:eastAsia="Times New Roman" w:hAnsi="Times New Roman" w:cs="Times New Roman"/>
          <w:sz w:val="24"/>
          <w:szCs w:val="24"/>
        </w:rPr>
        <w:t>Teori</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asimetri</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informasi</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adalah</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teori</w:t>
      </w:r>
      <w:proofErr w:type="spellEnd"/>
      <w:r w:rsidR="009C0AC4" w:rsidRPr="00B14ED8">
        <w:rPr>
          <w:rFonts w:ascii="Times New Roman" w:eastAsia="Times New Roman" w:hAnsi="Times New Roman" w:cs="Times New Roman"/>
          <w:sz w:val="24"/>
          <w:szCs w:val="24"/>
        </w:rPr>
        <w:t xml:space="preserve"> yang </w:t>
      </w:r>
      <w:proofErr w:type="spellStart"/>
      <w:r w:rsidR="009C0AC4" w:rsidRPr="00B14ED8">
        <w:rPr>
          <w:rFonts w:ascii="Times New Roman" w:eastAsia="Times New Roman" w:hAnsi="Times New Roman" w:cs="Times New Roman"/>
          <w:sz w:val="24"/>
          <w:szCs w:val="24"/>
        </w:rPr>
        <w:t>menjelaskan</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bahwa</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manajer</w:t>
      </w:r>
      <w:proofErr w:type="spellEnd"/>
      <w:r w:rsidR="009C0AC4" w:rsidRPr="00B14ED8">
        <w:rPr>
          <w:rFonts w:ascii="Times New Roman" w:eastAsia="Times New Roman" w:hAnsi="Times New Roman" w:cs="Times New Roman"/>
          <w:sz w:val="24"/>
          <w:szCs w:val="24"/>
        </w:rPr>
        <w:t xml:space="preserve"> yang </w:t>
      </w:r>
      <w:proofErr w:type="spellStart"/>
      <w:r w:rsidR="009C0AC4" w:rsidRPr="00B14ED8">
        <w:rPr>
          <w:rFonts w:ascii="Times New Roman" w:eastAsia="Times New Roman" w:hAnsi="Times New Roman" w:cs="Times New Roman"/>
          <w:sz w:val="24"/>
          <w:szCs w:val="24"/>
        </w:rPr>
        <w:t>berperan</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sebagai</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agen</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pemegang</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saham</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memiliki</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pengetahuan</w:t>
      </w:r>
      <w:proofErr w:type="spellEnd"/>
      <w:r w:rsidR="009C0AC4" w:rsidRPr="00B14ED8">
        <w:rPr>
          <w:rFonts w:ascii="Times New Roman" w:eastAsia="Times New Roman" w:hAnsi="Times New Roman" w:cs="Times New Roman"/>
          <w:sz w:val="24"/>
          <w:szCs w:val="24"/>
        </w:rPr>
        <w:t xml:space="preserve"> yang </w:t>
      </w:r>
      <w:proofErr w:type="spellStart"/>
      <w:r w:rsidR="009C0AC4" w:rsidRPr="00B14ED8">
        <w:rPr>
          <w:rFonts w:ascii="Times New Roman" w:eastAsia="Times New Roman" w:hAnsi="Times New Roman" w:cs="Times New Roman"/>
          <w:sz w:val="24"/>
          <w:szCs w:val="24"/>
        </w:rPr>
        <w:t>lebih</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banyak</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tentang</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perusahaan</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dibandingkan</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dengan</w:t>
      </w:r>
      <w:proofErr w:type="spellEnd"/>
      <w:r w:rsidR="009C0AC4" w:rsidRPr="00B14ED8">
        <w:rPr>
          <w:rFonts w:ascii="Times New Roman" w:eastAsia="Times New Roman" w:hAnsi="Times New Roman" w:cs="Times New Roman"/>
          <w:sz w:val="24"/>
          <w:szCs w:val="24"/>
        </w:rPr>
        <w:t xml:space="preserve"> </w:t>
      </w:r>
      <w:proofErr w:type="spellStart"/>
      <w:r w:rsidR="00CC6A38" w:rsidRPr="00B14ED8">
        <w:rPr>
          <w:rFonts w:ascii="Times New Roman" w:eastAsia="Times New Roman" w:hAnsi="Times New Roman" w:cs="Times New Roman"/>
          <w:sz w:val="24"/>
          <w:szCs w:val="24"/>
        </w:rPr>
        <w:t>pihak</w:t>
      </w:r>
      <w:proofErr w:type="spellEnd"/>
      <w:r w:rsidR="00CC6A38" w:rsidRPr="00B14ED8">
        <w:rPr>
          <w:rFonts w:ascii="Times New Roman" w:eastAsia="Times New Roman" w:hAnsi="Times New Roman" w:cs="Times New Roman"/>
          <w:sz w:val="24"/>
          <w:szCs w:val="24"/>
        </w:rPr>
        <w:t xml:space="preserve"> </w:t>
      </w:r>
      <w:proofErr w:type="spellStart"/>
      <w:r w:rsidR="00CC6A38" w:rsidRPr="00B14ED8">
        <w:rPr>
          <w:rFonts w:ascii="Times New Roman" w:eastAsia="Times New Roman" w:hAnsi="Times New Roman" w:cs="Times New Roman"/>
          <w:sz w:val="24"/>
          <w:szCs w:val="24"/>
        </w:rPr>
        <w:t>pemangku</w:t>
      </w:r>
      <w:proofErr w:type="spellEnd"/>
      <w:r w:rsidR="00CC6A38" w:rsidRPr="00B14ED8">
        <w:rPr>
          <w:rFonts w:ascii="Times New Roman" w:eastAsia="Times New Roman" w:hAnsi="Times New Roman" w:cs="Times New Roman"/>
          <w:sz w:val="24"/>
          <w:szCs w:val="24"/>
        </w:rPr>
        <w:t xml:space="preserve"> </w:t>
      </w:r>
      <w:proofErr w:type="spellStart"/>
      <w:r w:rsidR="00CC6A38" w:rsidRPr="00B14ED8">
        <w:rPr>
          <w:rFonts w:ascii="Times New Roman" w:eastAsia="Times New Roman" w:hAnsi="Times New Roman" w:cs="Times New Roman"/>
          <w:sz w:val="24"/>
          <w:szCs w:val="24"/>
        </w:rPr>
        <w:t>kepentingan</w:t>
      </w:r>
      <w:proofErr w:type="spellEnd"/>
      <w:r w:rsidR="00CC6A38" w:rsidRPr="00B14ED8">
        <w:rPr>
          <w:rFonts w:ascii="Times New Roman" w:eastAsia="Times New Roman" w:hAnsi="Times New Roman" w:cs="Times New Roman"/>
          <w:sz w:val="24"/>
          <w:szCs w:val="24"/>
        </w:rPr>
        <w:t xml:space="preserve"> </w:t>
      </w:r>
      <w:proofErr w:type="spellStart"/>
      <w:r w:rsidR="00CC6A38" w:rsidRPr="00B14ED8">
        <w:rPr>
          <w:rFonts w:ascii="Times New Roman" w:eastAsia="Times New Roman" w:hAnsi="Times New Roman" w:cs="Times New Roman"/>
          <w:sz w:val="24"/>
          <w:szCs w:val="24"/>
        </w:rPr>
        <w:t>lainnya</w:t>
      </w:r>
      <w:proofErr w:type="spellEnd"/>
      <w:r w:rsidR="009C0AC4" w:rsidRPr="00B14ED8">
        <w:rPr>
          <w:rFonts w:ascii="Times New Roman" w:eastAsia="Times New Roman" w:hAnsi="Times New Roman" w:cs="Times New Roman"/>
          <w:sz w:val="24"/>
          <w:szCs w:val="24"/>
        </w:rPr>
        <w:t xml:space="preserve">. Hal </w:t>
      </w:r>
      <w:proofErr w:type="spellStart"/>
      <w:r w:rsidR="009C0AC4" w:rsidRPr="00B14ED8">
        <w:rPr>
          <w:rFonts w:ascii="Times New Roman" w:eastAsia="Times New Roman" w:hAnsi="Times New Roman" w:cs="Times New Roman"/>
          <w:sz w:val="24"/>
          <w:szCs w:val="24"/>
        </w:rPr>
        <w:t>ini</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membuat</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tugas</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penilaian</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perusahaan</w:t>
      </w:r>
      <w:proofErr w:type="spellEnd"/>
      <w:r w:rsidR="009C0AC4" w:rsidRPr="00B14ED8">
        <w:rPr>
          <w:rFonts w:ascii="Times New Roman" w:eastAsia="Times New Roman" w:hAnsi="Times New Roman" w:cs="Times New Roman"/>
          <w:sz w:val="24"/>
          <w:szCs w:val="24"/>
        </w:rPr>
        <w:t xml:space="preserve"> oleh </w:t>
      </w:r>
      <w:proofErr w:type="spellStart"/>
      <w:r w:rsidR="009C0AC4" w:rsidRPr="00B14ED8">
        <w:rPr>
          <w:rFonts w:ascii="Times New Roman" w:eastAsia="Times New Roman" w:hAnsi="Times New Roman" w:cs="Times New Roman"/>
          <w:sz w:val="24"/>
          <w:szCs w:val="24"/>
        </w:rPr>
        <w:t>pihak</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eksternal</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menjadi</w:t>
      </w:r>
      <w:proofErr w:type="spellEnd"/>
      <w:r w:rsidR="009C0AC4" w:rsidRPr="00B14ED8">
        <w:rPr>
          <w:rFonts w:ascii="Times New Roman" w:eastAsia="Times New Roman" w:hAnsi="Times New Roman" w:cs="Times New Roman"/>
          <w:sz w:val="24"/>
          <w:szCs w:val="24"/>
        </w:rPr>
        <w:t xml:space="preserve"> </w:t>
      </w:r>
      <w:proofErr w:type="spellStart"/>
      <w:r w:rsidR="009C0AC4" w:rsidRPr="00B14ED8">
        <w:rPr>
          <w:rFonts w:ascii="Times New Roman" w:eastAsia="Times New Roman" w:hAnsi="Times New Roman" w:cs="Times New Roman"/>
          <w:sz w:val="24"/>
          <w:szCs w:val="24"/>
        </w:rPr>
        <w:t>sulit</w:t>
      </w:r>
      <w:proofErr w:type="spellEnd"/>
      <w:r w:rsidR="009C0AC4" w:rsidRPr="00B14ED8">
        <w:rPr>
          <w:rFonts w:ascii="Times New Roman" w:eastAsia="Times New Roman" w:hAnsi="Times New Roman" w:cs="Times New Roman"/>
          <w:sz w:val="24"/>
          <w:szCs w:val="24"/>
        </w:rPr>
        <w:t>.</w:t>
      </w:r>
      <w:r w:rsidR="00A147EA" w:rsidRPr="00B14ED8">
        <w:rPr>
          <w:rFonts w:ascii="Times New Roman" w:eastAsia="Times New Roman" w:hAnsi="Times New Roman" w:cs="Times New Roman"/>
          <w:sz w:val="24"/>
          <w:szCs w:val="24"/>
        </w:rPr>
        <w:t xml:space="preserve"> </w:t>
      </w:r>
      <w:proofErr w:type="spellStart"/>
      <w:r w:rsidR="002A31C7" w:rsidRPr="00B14ED8">
        <w:rPr>
          <w:rFonts w:ascii="Times New Roman" w:eastAsia="Times New Roman" w:hAnsi="Times New Roman" w:cs="Times New Roman"/>
          <w:sz w:val="24"/>
          <w:szCs w:val="24"/>
        </w:rPr>
        <w:t>Teori</w:t>
      </w:r>
      <w:proofErr w:type="spellEnd"/>
      <w:r w:rsidR="002A31C7" w:rsidRPr="00B14ED8">
        <w:rPr>
          <w:rFonts w:ascii="Times New Roman" w:eastAsia="Times New Roman" w:hAnsi="Times New Roman" w:cs="Times New Roman"/>
          <w:sz w:val="24"/>
          <w:szCs w:val="24"/>
        </w:rPr>
        <w:t xml:space="preserve"> </w:t>
      </w:r>
      <w:proofErr w:type="spellStart"/>
      <w:r w:rsidR="002A31C7" w:rsidRPr="00B14ED8">
        <w:rPr>
          <w:rFonts w:ascii="Times New Roman" w:eastAsia="Times New Roman" w:hAnsi="Times New Roman" w:cs="Times New Roman"/>
          <w:sz w:val="24"/>
          <w:szCs w:val="24"/>
        </w:rPr>
        <w:t>asimetri</w:t>
      </w:r>
      <w:proofErr w:type="spellEnd"/>
      <w:r w:rsidR="002A31C7" w:rsidRPr="00B14ED8">
        <w:rPr>
          <w:rFonts w:ascii="Times New Roman" w:eastAsia="Times New Roman" w:hAnsi="Times New Roman" w:cs="Times New Roman"/>
          <w:sz w:val="24"/>
          <w:szCs w:val="24"/>
        </w:rPr>
        <w:t xml:space="preserve"> </w:t>
      </w:r>
      <w:proofErr w:type="spellStart"/>
      <w:r w:rsidR="002A31C7" w:rsidRPr="00B14ED8">
        <w:rPr>
          <w:rFonts w:ascii="Times New Roman" w:eastAsia="Times New Roman" w:hAnsi="Times New Roman" w:cs="Times New Roman"/>
          <w:sz w:val="24"/>
          <w:szCs w:val="24"/>
        </w:rPr>
        <w:t>informasi</w:t>
      </w:r>
      <w:proofErr w:type="spellEnd"/>
      <w:r w:rsidR="002A31C7" w:rsidRPr="00B14ED8">
        <w:rPr>
          <w:rFonts w:ascii="Times New Roman" w:eastAsia="Times New Roman" w:hAnsi="Times New Roman" w:cs="Times New Roman"/>
          <w:sz w:val="24"/>
          <w:szCs w:val="24"/>
        </w:rPr>
        <w:t xml:space="preserve"> </w:t>
      </w:r>
      <w:proofErr w:type="spellStart"/>
      <w:r w:rsidR="002A31C7" w:rsidRPr="00B14ED8">
        <w:rPr>
          <w:rFonts w:ascii="Times New Roman" w:eastAsia="Times New Roman" w:hAnsi="Times New Roman" w:cs="Times New Roman"/>
          <w:sz w:val="24"/>
          <w:szCs w:val="24"/>
        </w:rPr>
        <w:t>telah</w:t>
      </w:r>
      <w:proofErr w:type="spellEnd"/>
      <w:r w:rsidR="002A31C7" w:rsidRPr="00B14ED8">
        <w:rPr>
          <w:rFonts w:ascii="Times New Roman" w:eastAsia="Times New Roman" w:hAnsi="Times New Roman" w:cs="Times New Roman"/>
          <w:sz w:val="24"/>
          <w:szCs w:val="24"/>
        </w:rPr>
        <w:t xml:space="preserve"> </w:t>
      </w:r>
      <w:proofErr w:type="spellStart"/>
      <w:r w:rsidR="002A31C7" w:rsidRPr="00B14ED8">
        <w:rPr>
          <w:rFonts w:ascii="Times New Roman" w:eastAsia="Times New Roman" w:hAnsi="Times New Roman" w:cs="Times New Roman"/>
          <w:sz w:val="24"/>
          <w:szCs w:val="24"/>
        </w:rPr>
        <w:t>memberikan</w:t>
      </w:r>
      <w:proofErr w:type="spellEnd"/>
      <w:r w:rsidR="002A31C7" w:rsidRPr="00B14ED8">
        <w:rPr>
          <w:rFonts w:ascii="Times New Roman" w:eastAsia="Times New Roman" w:hAnsi="Times New Roman" w:cs="Times New Roman"/>
          <w:sz w:val="24"/>
          <w:szCs w:val="24"/>
        </w:rPr>
        <w:t xml:space="preserve"> </w:t>
      </w:r>
      <w:proofErr w:type="spellStart"/>
      <w:r w:rsidR="002A31C7" w:rsidRPr="00B14ED8">
        <w:rPr>
          <w:rFonts w:ascii="Times New Roman" w:eastAsia="Times New Roman" w:hAnsi="Times New Roman" w:cs="Times New Roman"/>
          <w:sz w:val="24"/>
          <w:szCs w:val="24"/>
        </w:rPr>
        <w:t>kontribusi</w:t>
      </w:r>
      <w:proofErr w:type="spellEnd"/>
      <w:r w:rsidR="002A31C7" w:rsidRPr="00B14ED8">
        <w:rPr>
          <w:rFonts w:ascii="Times New Roman" w:eastAsia="Times New Roman" w:hAnsi="Times New Roman" w:cs="Times New Roman"/>
          <w:sz w:val="24"/>
          <w:szCs w:val="24"/>
        </w:rPr>
        <w:t xml:space="preserve"> </w:t>
      </w:r>
      <w:proofErr w:type="spellStart"/>
      <w:r w:rsidR="002A31C7" w:rsidRPr="00B14ED8">
        <w:rPr>
          <w:rFonts w:ascii="Times New Roman" w:eastAsia="Times New Roman" w:hAnsi="Times New Roman" w:cs="Times New Roman"/>
          <w:sz w:val="24"/>
          <w:szCs w:val="24"/>
        </w:rPr>
        <w:t>signifikan</w:t>
      </w:r>
      <w:proofErr w:type="spellEnd"/>
      <w:r w:rsidR="002A31C7" w:rsidRPr="00B14ED8">
        <w:rPr>
          <w:rFonts w:ascii="Times New Roman" w:eastAsia="Times New Roman" w:hAnsi="Times New Roman" w:cs="Times New Roman"/>
          <w:sz w:val="24"/>
          <w:szCs w:val="24"/>
        </w:rPr>
        <w:t xml:space="preserve"> </w:t>
      </w:r>
      <w:proofErr w:type="spellStart"/>
      <w:r w:rsidR="002A31C7" w:rsidRPr="00B14ED8">
        <w:rPr>
          <w:rFonts w:ascii="Times New Roman" w:eastAsia="Times New Roman" w:hAnsi="Times New Roman" w:cs="Times New Roman"/>
          <w:sz w:val="24"/>
          <w:szCs w:val="24"/>
        </w:rPr>
        <w:t>dalam</w:t>
      </w:r>
      <w:proofErr w:type="spellEnd"/>
      <w:r w:rsidR="002A31C7" w:rsidRPr="00B14ED8">
        <w:rPr>
          <w:rFonts w:ascii="Times New Roman" w:eastAsia="Times New Roman" w:hAnsi="Times New Roman" w:cs="Times New Roman"/>
          <w:sz w:val="24"/>
          <w:szCs w:val="24"/>
        </w:rPr>
        <w:t xml:space="preserve"> </w:t>
      </w:r>
      <w:proofErr w:type="spellStart"/>
      <w:r w:rsidR="002A31C7" w:rsidRPr="00B14ED8">
        <w:rPr>
          <w:rFonts w:ascii="Times New Roman" w:eastAsia="Times New Roman" w:hAnsi="Times New Roman" w:cs="Times New Roman"/>
          <w:sz w:val="24"/>
          <w:szCs w:val="24"/>
        </w:rPr>
        <w:t>pemahaman</w:t>
      </w:r>
      <w:proofErr w:type="spellEnd"/>
      <w:r w:rsidR="002A31C7" w:rsidRPr="00B14ED8">
        <w:rPr>
          <w:rFonts w:ascii="Times New Roman" w:eastAsia="Times New Roman" w:hAnsi="Times New Roman" w:cs="Times New Roman"/>
          <w:sz w:val="24"/>
          <w:szCs w:val="24"/>
        </w:rPr>
        <w:t xml:space="preserve"> </w:t>
      </w:r>
      <w:proofErr w:type="spellStart"/>
      <w:r w:rsidR="002A31C7" w:rsidRPr="00B14ED8">
        <w:rPr>
          <w:rFonts w:ascii="Times New Roman" w:eastAsia="Times New Roman" w:hAnsi="Times New Roman" w:cs="Times New Roman"/>
          <w:sz w:val="24"/>
          <w:szCs w:val="24"/>
        </w:rPr>
        <w:t>keputusan</w:t>
      </w:r>
      <w:proofErr w:type="spellEnd"/>
      <w:r w:rsidR="002A31C7" w:rsidRPr="00B14ED8">
        <w:rPr>
          <w:rFonts w:ascii="Times New Roman" w:eastAsia="Times New Roman" w:hAnsi="Times New Roman" w:cs="Times New Roman"/>
          <w:sz w:val="24"/>
          <w:szCs w:val="24"/>
        </w:rPr>
        <w:t xml:space="preserve"> </w:t>
      </w:r>
      <w:proofErr w:type="spellStart"/>
      <w:r w:rsidR="002A31C7" w:rsidRPr="00B14ED8">
        <w:rPr>
          <w:rFonts w:ascii="Times New Roman" w:eastAsia="Times New Roman" w:hAnsi="Times New Roman" w:cs="Times New Roman"/>
          <w:sz w:val="24"/>
          <w:szCs w:val="24"/>
        </w:rPr>
        <w:t>keuangan</w:t>
      </w:r>
      <w:proofErr w:type="spellEnd"/>
      <w:r w:rsidR="002A31C7" w:rsidRPr="00B14ED8">
        <w:rPr>
          <w:rFonts w:ascii="Times New Roman" w:eastAsia="Times New Roman" w:hAnsi="Times New Roman" w:cs="Times New Roman"/>
          <w:sz w:val="24"/>
          <w:szCs w:val="24"/>
        </w:rPr>
        <w:t xml:space="preserve"> dan non-</w:t>
      </w:r>
      <w:proofErr w:type="spellStart"/>
      <w:r w:rsidR="002A31C7" w:rsidRPr="00B14ED8">
        <w:rPr>
          <w:rFonts w:ascii="Times New Roman" w:eastAsia="Times New Roman" w:hAnsi="Times New Roman" w:cs="Times New Roman"/>
          <w:sz w:val="24"/>
          <w:szCs w:val="24"/>
        </w:rPr>
        <w:t>keuangan</w:t>
      </w:r>
      <w:proofErr w:type="spellEnd"/>
      <w:r w:rsidR="002A31C7" w:rsidRPr="00B14ED8">
        <w:rPr>
          <w:rFonts w:ascii="Times New Roman" w:eastAsia="Times New Roman" w:hAnsi="Times New Roman" w:cs="Times New Roman"/>
          <w:sz w:val="24"/>
          <w:szCs w:val="24"/>
        </w:rPr>
        <w:t xml:space="preserve"> </w:t>
      </w:r>
      <w:proofErr w:type="spellStart"/>
      <w:r w:rsidR="002A31C7" w:rsidRPr="00B14ED8">
        <w:rPr>
          <w:rFonts w:ascii="Times New Roman" w:eastAsia="Times New Roman" w:hAnsi="Times New Roman" w:cs="Times New Roman"/>
          <w:sz w:val="24"/>
          <w:szCs w:val="24"/>
        </w:rPr>
        <w:lastRenderedPageBreak/>
        <w:t>perusahaan</w:t>
      </w:r>
      <w:proofErr w:type="spellEnd"/>
      <w:r w:rsidR="00F727D4" w:rsidRPr="00B14ED8">
        <w:rPr>
          <w:rFonts w:ascii="Times New Roman" w:eastAsia="Times New Roman" w:hAnsi="Times New Roman" w:cs="Times New Roman"/>
          <w:sz w:val="24"/>
          <w:szCs w:val="24"/>
        </w:rPr>
        <w:fldChar w:fldCharType="begin" w:fldLock="1"/>
      </w:r>
      <w:r w:rsidR="00F727D4" w:rsidRPr="00B14ED8">
        <w:rPr>
          <w:rFonts w:ascii="Times New Roman" w:eastAsia="Times New Roman" w:hAnsi="Times New Roman" w:cs="Times New Roman"/>
          <w:sz w:val="24"/>
          <w:szCs w:val="24"/>
        </w:rPr>
        <w:instrText>ADDIN CSL_CITATION {"citationItems":[{"id":"ITEM-1","itemData":{"DOI":"10.1016/j.bar.2020.100971","ISSN":"10958347","abstract":"Protecting the environment is now a major aspect of corporate social responsibility. However, voluntary carbon disclosure includes private information on future sustainability that external stakeholders cannot easily verify. Drawing on information asymmetry theory, we predict that companies with higher carbon information asymmetry between insiders and outsiders have a greater incentive to voluntarily engage an external party for the independent assurance of their greenhouse gas statements. Using data from the CDP, we test this hypothesis and find that our proxies for carbon information asymmetry (e.g., greenhouse gas emissions, energy structure) are significantly associated with the adoption of carbon assurance. Further analyses suggest that the probability of carbon assurance is enhanced when carbon disclosure is inadequate to diminish information asymmetry. Finally, our sample companies adopted carbon assurance in addition to financial auditing. This highlights the key point that resolving carbon information asymmetry requires carbon assurance, which cannot be substituted for by financial auditing.","author":[{"dropping-particle":"","family":"Fan","given":"Hanlu","non-dropping-particle":"","parse-names":false,"suffix":""},{"dropping-particle":"","family":"Tang","given":"Qingliang","non-dropping-particle":"","parse-names":false,"suffix":""},{"dropping-particle":"","family":"Pan","given":"Lipeng","non-dropping-particle":"","parse-names":false,"suffix":""}],"container-title":"British Accounting Review","id":"ITEM-1","issue":"1","issued":{"date-parts":[["2021"]]},"page":"1-17","publisher":"Elsevier Ltd","title":"An international study of carbon information asymmetry and independent carbon assurance","type":"article-journal","volume":"53"},"uris":["http://www.mendeley.com/documents/?uuid=128edeac-0792-4ebd-9d5a-90d9dcfcf483"]}],"mendeley":{"formattedCitation":"(Fan et al., 2021)","plainTextFormattedCitation":"(Fan et al., 2021)","previouslyFormattedCitation":"(Fan et al., 2021)"},"properties":{"noteIndex":0},"schema":"https://github.com/citation-style-language/schema/raw/master/csl-citation.json"}</w:instrText>
      </w:r>
      <w:r w:rsidR="00F727D4" w:rsidRPr="00B14ED8">
        <w:rPr>
          <w:rFonts w:ascii="Times New Roman" w:eastAsia="Times New Roman" w:hAnsi="Times New Roman" w:cs="Times New Roman"/>
          <w:sz w:val="24"/>
          <w:szCs w:val="24"/>
        </w:rPr>
        <w:fldChar w:fldCharType="separate"/>
      </w:r>
      <w:r w:rsidR="00F727D4" w:rsidRPr="00B14ED8">
        <w:rPr>
          <w:rFonts w:ascii="Times New Roman" w:eastAsia="Times New Roman" w:hAnsi="Times New Roman" w:cs="Times New Roman"/>
          <w:noProof/>
          <w:sz w:val="24"/>
          <w:szCs w:val="24"/>
        </w:rPr>
        <w:t>(Fan et al., 2021)</w:t>
      </w:r>
      <w:r w:rsidR="00F727D4" w:rsidRPr="00B14ED8">
        <w:rPr>
          <w:rFonts w:ascii="Times New Roman" w:eastAsia="Times New Roman" w:hAnsi="Times New Roman" w:cs="Times New Roman"/>
          <w:sz w:val="24"/>
          <w:szCs w:val="24"/>
        </w:rPr>
        <w:fldChar w:fldCharType="end"/>
      </w:r>
      <w:r w:rsidR="002A31C7" w:rsidRPr="00B14ED8">
        <w:rPr>
          <w:rFonts w:ascii="Times New Roman" w:eastAsia="Times New Roman" w:hAnsi="Times New Roman" w:cs="Times New Roman"/>
          <w:sz w:val="24"/>
          <w:szCs w:val="24"/>
        </w:rPr>
        <w:t>.</w:t>
      </w:r>
      <w:r w:rsidR="007F5906" w:rsidRPr="00B14ED8">
        <w:rPr>
          <w:rFonts w:ascii="Times New Roman" w:eastAsia="Times New Roman" w:hAnsi="Times New Roman" w:cs="Times New Roman"/>
          <w:sz w:val="24"/>
          <w:szCs w:val="24"/>
        </w:rPr>
        <w:t xml:space="preserve"> </w:t>
      </w:r>
      <w:proofErr w:type="spellStart"/>
      <w:r w:rsidR="00022C7A" w:rsidRPr="00B14ED8">
        <w:rPr>
          <w:rFonts w:ascii="Times New Roman" w:eastAsia="Times New Roman" w:hAnsi="Times New Roman" w:cs="Times New Roman"/>
          <w:sz w:val="24"/>
          <w:szCs w:val="24"/>
        </w:rPr>
        <w:t>Dalam</w:t>
      </w:r>
      <w:proofErr w:type="spellEnd"/>
      <w:r w:rsidR="00022C7A" w:rsidRPr="00B14ED8">
        <w:rPr>
          <w:rFonts w:ascii="Times New Roman" w:eastAsia="Times New Roman" w:hAnsi="Times New Roman" w:cs="Times New Roman"/>
          <w:sz w:val="24"/>
          <w:szCs w:val="24"/>
        </w:rPr>
        <w:t xml:space="preserve"> </w:t>
      </w:r>
      <w:proofErr w:type="spellStart"/>
      <w:r w:rsidR="00022C7A" w:rsidRPr="00B14ED8">
        <w:rPr>
          <w:rFonts w:ascii="Times New Roman" w:eastAsia="Times New Roman" w:hAnsi="Times New Roman" w:cs="Times New Roman"/>
          <w:sz w:val="24"/>
          <w:szCs w:val="24"/>
        </w:rPr>
        <w:t>sistem</w:t>
      </w:r>
      <w:proofErr w:type="spellEnd"/>
      <w:r w:rsidR="00022C7A" w:rsidRPr="00B14ED8">
        <w:rPr>
          <w:rFonts w:ascii="Times New Roman" w:eastAsia="Times New Roman" w:hAnsi="Times New Roman" w:cs="Times New Roman"/>
          <w:sz w:val="24"/>
          <w:szCs w:val="24"/>
        </w:rPr>
        <w:t xml:space="preserve"> PLS</w:t>
      </w:r>
      <w:r w:rsidR="007F5906" w:rsidRPr="00B14ED8">
        <w:rPr>
          <w:rFonts w:ascii="Times New Roman" w:eastAsia="Times New Roman" w:hAnsi="Times New Roman" w:cs="Times New Roman"/>
          <w:sz w:val="24"/>
          <w:szCs w:val="24"/>
        </w:rPr>
        <w:t xml:space="preserve"> </w:t>
      </w:r>
      <w:proofErr w:type="spellStart"/>
      <w:r w:rsidR="007F5906" w:rsidRPr="00B14ED8">
        <w:rPr>
          <w:rFonts w:ascii="Times New Roman" w:eastAsia="Times New Roman" w:hAnsi="Times New Roman" w:cs="Times New Roman"/>
          <w:sz w:val="24"/>
          <w:szCs w:val="24"/>
        </w:rPr>
        <w:t>perbankan</w:t>
      </w:r>
      <w:proofErr w:type="spellEnd"/>
      <w:r w:rsidR="007F5906" w:rsidRPr="00B14ED8">
        <w:rPr>
          <w:rFonts w:ascii="Times New Roman" w:eastAsia="Times New Roman" w:hAnsi="Times New Roman" w:cs="Times New Roman"/>
          <w:sz w:val="24"/>
          <w:szCs w:val="24"/>
        </w:rPr>
        <w:t xml:space="preserve"> </w:t>
      </w:r>
      <w:proofErr w:type="spellStart"/>
      <w:r w:rsidR="007F5906" w:rsidRPr="00B14ED8">
        <w:rPr>
          <w:rFonts w:ascii="Times New Roman" w:eastAsia="Times New Roman" w:hAnsi="Times New Roman" w:cs="Times New Roman"/>
          <w:sz w:val="24"/>
          <w:szCs w:val="24"/>
        </w:rPr>
        <w:t>syariah</w:t>
      </w:r>
      <w:proofErr w:type="spellEnd"/>
      <w:r w:rsidR="00022C7A" w:rsidRPr="00B14ED8">
        <w:rPr>
          <w:rFonts w:ascii="Times New Roman" w:eastAsia="Times New Roman" w:hAnsi="Times New Roman" w:cs="Times New Roman"/>
          <w:sz w:val="24"/>
          <w:szCs w:val="24"/>
        </w:rPr>
        <w:t xml:space="preserve">, </w:t>
      </w:r>
      <w:proofErr w:type="spellStart"/>
      <w:r w:rsidR="00022C7A" w:rsidRPr="00B14ED8">
        <w:rPr>
          <w:rFonts w:ascii="Times New Roman" w:eastAsia="Times New Roman" w:hAnsi="Times New Roman" w:cs="Times New Roman"/>
          <w:sz w:val="24"/>
          <w:szCs w:val="24"/>
        </w:rPr>
        <w:t>keuntungan</w:t>
      </w:r>
      <w:proofErr w:type="spellEnd"/>
      <w:r w:rsidR="00022C7A" w:rsidRPr="00B14ED8">
        <w:rPr>
          <w:rFonts w:ascii="Times New Roman" w:eastAsia="Times New Roman" w:hAnsi="Times New Roman" w:cs="Times New Roman"/>
          <w:sz w:val="24"/>
          <w:szCs w:val="24"/>
        </w:rPr>
        <w:t xml:space="preserve"> dan </w:t>
      </w:r>
      <w:proofErr w:type="spellStart"/>
      <w:r w:rsidR="00022C7A" w:rsidRPr="00B14ED8">
        <w:rPr>
          <w:rFonts w:ascii="Times New Roman" w:eastAsia="Times New Roman" w:hAnsi="Times New Roman" w:cs="Times New Roman"/>
          <w:sz w:val="24"/>
          <w:szCs w:val="24"/>
        </w:rPr>
        <w:t>kerugian</w:t>
      </w:r>
      <w:proofErr w:type="spellEnd"/>
      <w:r w:rsidR="00022C7A" w:rsidRPr="00B14ED8">
        <w:rPr>
          <w:rFonts w:ascii="Times New Roman" w:eastAsia="Times New Roman" w:hAnsi="Times New Roman" w:cs="Times New Roman"/>
          <w:sz w:val="24"/>
          <w:szCs w:val="24"/>
        </w:rPr>
        <w:t xml:space="preserve"> </w:t>
      </w:r>
      <w:proofErr w:type="spellStart"/>
      <w:r w:rsidR="00022C7A" w:rsidRPr="00B14ED8">
        <w:rPr>
          <w:rFonts w:ascii="Times New Roman" w:eastAsia="Times New Roman" w:hAnsi="Times New Roman" w:cs="Times New Roman"/>
          <w:sz w:val="24"/>
          <w:szCs w:val="24"/>
        </w:rPr>
        <w:t>dibagi</w:t>
      </w:r>
      <w:proofErr w:type="spellEnd"/>
      <w:r w:rsidR="00022C7A" w:rsidRPr="00B14ED8">
        <w:rPr>
          <w:rFonts w:ascii="Times New Roman" w:eastAsia="Times New Roman" w:hAnsi="Times New Roman" w:cs="Times New Roman"/>
          <w:sz w:val="24"/>
          <w:szCs w:val="24"/>
        </w:rPr>
        <w:t xml:space="preserve"> </w:t>
      </w:r>
      <w:proofErr w:type="spellStart"/>
      <w:r w:rsidR="00022C7A" w:rsidRPr="00B14ED8">
        <w:rPr>
          <w:rFonts w:ascii="Times New Roman" w:eastAsia="Times New Roman" w:hAnsi="Times New Roman" w:cs="Times New Roman"/>
          <w:sz w:val="24"/>
          <w:szCs w:val="24"/>
        </w:rPr>
        <w:t>antara</w:t>
      </w:r>
      <w:proofErr w:type="spellEnd"/>
      <w:r w:rsidR="00022C7A" w:rsidRPr="00B14ED8">
        <w:rPr>
          <w:rFonts w:ascii="Times New Roman" w:eastAsia="Times New Roman" w:hAnsi="Times New Roman" w:cs="Times New Roman"/>
          <w:sz w:val="24"/>
          <w:szCs w:val="24"/>
        </w:rPr>
        <w:t xml:space="preserve"> bank dan </w:t>
      </w:r>
      <w:proofErr w:type="spellStart"/>
      <w:r w:rsidR="00E05EF3" w:rsidRPr="00B14ED8">
        <w:rPr>
          <w:rFonts w:ascii="Times New Roman" w:eastAsia="Times New Roman" w:hAnsi="Times New Roman" w:cs="Times New Roman"/>
          <w:sz w:val="24"/>
          <w:szCs w:val="24"/>
        </w:rPr>
        <w:t>nasabah</w:t>
      </w:r>
      <w:proofErr w:type="spellEnd"/>
      <w:r w:rsidR="00022C7A" w:rsidRPr="00B14ED8">
        <w:rPr>
          <w:rFonts w:ascii="Times New Roman" w:eastAsia="Times New Roman" w:hAnsi="Times New Roman" w:cs="Times New Roman"/>
          <w:sz w:val="24"/>
          <w:szCs w:val="24"/>
        </w:rPr>
        <w:t xml:space="preserve">, </w:t>
      </w:r>
      <w:proofErr w:type="spellStart"/>
      <w:r w:rsidR="00022C7A" w:rsidRPr="00B14ED8">
        <w:rPr>
          <w:rFonts w:ascii="Times New Roman" w:eastAsia="Times New Roman" w:hAnsi="Times New Roman" w:cs="Times New Roman"/>
          <w:sz w:val="24"/>
          <w:szCs w:val="24"/>
        </w:rPr>
        <w:t>dapat</w:t>
      </w:r>
      <w:proofErr w:type="spellEnd"/>
      <w:r w:rsidR="00022C7A" w:rsidRPr="00B14ED8">
        <w:rPr>
          <w:rFonts w:ascii="Times New Roman" w:eastAsia="Times New Roman" w:hAnsi="Times New Roman" w:cs="Times New Roman"/>
          <w:sz w:val="24"/>
          <w:szCs w:val="24"/>
        </w:rPr>
        <w:t xml:space="preserve"> </w:t>
      </w:r>
      <w:proofErr w:type="spellStart"/>
      <w:r w:rsidR="00022C7A" w:rsidRPr="00B14ED8">
        <w:rPr>
          <w:rFonts w:ascii="Times New Roman" w:eastAsia="Times New Roman" w:hAnsi="Times New Roman" w:cs="Times New Roman"/>
          <w:sz w:val="24"/>
          <w:szCs w:val="24"/>
        </w:rPr>
        <w:t>terjadi</w:t>
      </w:r>
      <w:proofErr w:type="spellEnd"/>
      <w:r w:rsidR="00022C7A" w:rsidRPr="00B14ED8">
        <w:rPr>
          <w:rFonts w:ascii="Times New Roman" w:eastAsia="Times New Roman" w:hAnsi="Times New Roman" w:cs="Times New Roman"/>
          <w:sz w:val="24"/>
          <w:szCs w:val="24"/>
        </w:rPr>
        <w:t xml:space="preserve"> </w:t>
      </w:r>
      <w:proofErr w:type="spellStart"/>
      <w:r w:rsidR="00022C7A" w:rsidRPr="00B14ED8">
        <w:rPr>
          <w:rFonts w:ascii="Times New Roman" w:eastAsia="Times New Roman" w:hAnsi="Times New Roman" w:cs="Times New Roman"/>
          <w:sz w:val="24"/>
          <w:szCs w:val="24"/>
        </w:rPr>
        <w:t>ketidaksetaraan</w:t>
      </w:r>
      <w:proofErr w:type="spellEnd"/>
      <w:r w:rsidR="00022C7A" w:rsidRPr="00B14ED8">
        <w:rPr>
          <w:rFonts w:ascii="Times New Roman" w:eastAsia="Times New Roman" w:hAnsi="Times New Roman" w:cs="Times New Roman"/>
          <w:sz w:val="24"/>
          <w:szCs w:val="24"/>
        </w:rPr>
        <w:t xml:space="preserve"> </w:t>
      </w:r>
      <w:proofErr w:type="spellStart"/>
      <w:r w:rsidR="00022C7A" w:rsidRPr="00B14ED8">
        <w:rPr>
          <w:rFonts w:ascii="Times New Roman" w:eastAsia="Times New Roman" w:hAnsi="Times New Roman" w:cs="Times New Roman"/>
          <w:sz w:val="24"/>
          <w:szCs w:val="24"/>
        </w:rPr>
        <w:t>informasi</w:t>
      </w:r>
      <w:proofErr w:type="spellEnd"/>
      <w:r w:rsidR="00022C7A" w:rsidRPr="00B14ED8">
        <w:rPr>
          <w:rFonts w:ascii="Times New Roman" w:eastAsia="Times New Roman" w:hAnsi="Times New Roman" w:cs="Times New Roman"/>
          <w:sz w:val="24"/>
          <w:szCs w:val="24"/>
        </w:rPr>
        <w:t xml:space="preserve"> </w:t>
      </w:r>
      <w:proofErr w:type="spellStart"/>
      <w:r w:rsidR="00022C7A" w:rsidRPr="00B14ED8">
        <w:rPr>
          <w:rFonts w:ascii="Times New Roman" w:eastAsia="Times New Roman" w:hAnsi="Times New Roman" w:cs="Times New Roman"/>
          <w:sz w:val="24"/>
          <w:szCs w:val="24"/>
        </w:rPr>
        <w:t>terkait</w:t>
      </w:r>
      <w:proofErr w:type="spellEnd"/>
      <w:r w:rsidR="00022C7A" w:rsidRPr="00B14ED8">
        <w:rPr>
          <w:rFonts w:ascii="Times New Roman" w:eastAsia="Times New Roman" w:hAnsi="Times New Roman" w:cs="Times New Roman"/>
          <w:sz w:val="24"/>
          <w:szCs w:val="24"/>
        </w:rPr>
        <w:t xml:space="preserve"> </w:t>
      </w:r>
      <w:proofErr w:type="spellStart"/>
      <w:r w:rsidR="00022C7A" w:rsidRPr="00B14ED8">
        <w:rPr>
          <w:rFonts w:ascii="Times New Roman" w:eastAsia="Times New Roman" w:hAnsi="Times New Roman" w:cs="Times New Roman"/>
          <w:sz w:val="24"/>
          <w:szCs w:val="24"/>
        </w:rPr>
        <w:t>dengan</w:t>
      </w:r>
      <w:proofErr w:type="spellEnd"/>
      <w:r w:rsidR="00022C7A" w:rsidRPr="00B14ED8">
        <w:rPr>
          <w:rFonts w:ascii="Times New Roman" w:eastAsia="Times New Roman" w:hAnsi="Times New Roman" w:cs="Times New Roman"/>
          <w:sz w:val="24"/>
          <w:szCs w:val="24"/>
        </w:rPr>
        <w:t xml:space="preserve"> </w:t>
      </w:r>
      <w:proofErr w:type="spellStart"/>
      <w:r w:rsidR="00022C7A" w:rsidRPr="00B14ED8">
        <w:rPr>
          <w:rFonts w:ascii="Times New Roman" w:eastAsia="Times New Roman" w:hAnsi="Times New Roman" w:cs="Times New Roman"/>
          <w:sz w:val="24"/>
          <w:szCs w:val="24"/>
        </w:rPr>
        <w:t>kualitas</w:t>
      </w:r>
      <w:proofErr w:type="spellEnd"/>
      <w:r w:rsidR="00022C7A" w:rsidRPr="00B14ED8">
        <w:rPr>
          <w:rFonts w:ascii="Times New Roman" w:eastAsia="Times New Roman" w:hAnsi="Times New Roman" w:cs="Times New Roman"/>
          <w:sz w:val="24"/>
          <w:szCs w:val="24"/>
        </w:rPr>
        <w:t xml:space="preserve"> </w:t>
      </w:r>
      <w:proofErr w:type="spellStart"/>
      <w:r w:rsidR="00022C7A" w:rsidRPr="00B14ED8">
        <w:rPr>
          <w:rFonts w:ascii="Times New Roman" w:eastAsia="Times New Roman" w:hAnsi="Times New Roman" w:cs="Times New Roman"/>
          <w:sz w:val="24"/>
          <w:szCs w:val="24"/>
        </w:rPr>
        <w:t>proyek</w:t>
      </w:r>
      <w:proofErr w:type="spellEnd"/>
      <w:r w:rsidR="00022C7A" w:rsidRPr="00B14ED8">
        <w:rPr>
          <w:rFonts w:ascii="Times New Roman" w:eastAsia="Times New Roman" w:hAnsi="Times New Roman" w:cs="Times New Roman"/>
          <w:sz w:val="24"/>
          <w:szCs w:val="24"/>
        </w:rPr>
        <w:t xml:space="preserve"> </w:t>
      </w:r>
      <w:proofErr w:type="spellStart"/>
      <w:r w:rsidR="00022C7A" w:rsidRPr="00B14ED8">
        <w:rPr>
          <w:rFonts w:ascii="Times New Roman" w:eastAsia="Times New Roman" w:hAnsi="Times New Roman" w:cs="Times New Roman"/>
          <w:sz w:val="24"/>
          <w:szCs w:val="24"/>
        </w:rPr>
        <w:t>atau</w:t>
      </w:r>
      <w:proofErr w:type="spellEnd"/>
      <w:r w:rsidR="00022C7A" w:rsidRPr="00B14ED8">
        <w:rPr>
          <w:rFonts w:ascii="Times New Roman" w:eastAsia="Times New Roman" w:hAnsi="Times New Roman" w:cs="Times New Roman"/>
          <w:sz w:val="24"/>
          <w:szCs w:val="24"/>
        </w:rPr>
        <w:t xml:space="preserve"> </w:t>
      </w:r>
      <w:proofErr w:type="spellStart"/>
      <w:r w:rsidR="00022C7A" w:rsidRPr="00B14ED8">
        <w:rPr>
          <w:rFonts w:ascii="Times New Roman" w:eastAsia="Times New Roman" w:hAnsi="Times New Roman" w:cs="Times New Roman"/>
          <w:sz w:val="24"/>
          <w:szCs w:val="24"/>
        </w:rPr>
        <w:t>bisnis</w:t>
      </w:r>
      <w:proofErr w:type="spellEnd"/>
      <w:r w:rsidR="00022C7A" w:rsidRPr="00B14ED8">
        <w:rPr>
          <w:rFonts w:ascii="Times New Roman" w:eastAsia="Times New Roman" w:hAnsi="Times New Roman" w:cs="Times New Roman"/>
          <w:sz w:val="24"/>
          <w:szCs w:val="24"/>
        </w:rPr>
        <w:t xml:space="preserve"> yang </w:t>
      </w:r>
      <w:proofErr w:type="spellStart"/>
      <w:r w:rsidR="00022C7A" w:rsidRPr="00B14ED8">
        <w:rPr>
          <w:rFonts w:ascii="Times New Roman" w:eastAsia="Times New Roman" w:hAnsi="Times New Roman" w:cs="Times New Roman"/>
          <w:sz w:val="24"/>
          <w:szCs w:val="24"/>
        </w:rPr>
        <w:t>dibiayai</w:t>
      </w:r>
      <w:proofErr w:type="spellEnd"/>
      <w:r w:rsidR="00022C7A" w:rsidRPr="00B14ED8">
        <w:rPr>
          <w:rFonts w:ascii="Times New Roman" w:eastAsia="Times New Roman" w:hAnsi="Times New Roman" w:cs="Times New Roman"/>
          <w:sz w:val="24"/>
          <w:szCs w:val="24"/>
        </w:rPr>
        <w:t>.</w:t>
      </w:r>
      <w:r w:rsidR="00A147EA" w:rsidRPr="00B14ED8">
        <w:rPr>
          <w:rFonts w:ascii="Times New Roman" w:eastAsia="Times New Roman" w:hAnsi="Times New Roman" w:cs="Times New Roman"/>
          <w:sz w:val="24"/>
          <w:szCs w:val="24"/>
        </w:rPr>
        <w:t xml:space="preserve"> </w:t>
      </w:r>
      <w:proofErr w:type="spellStart"/>
      <w:r w:rsidR="00A147EA" w:rsidRPr="00B14ED8">
        <w:rPr>
          <w:rFonts w:ascii="Times New Roman" w:eastAsia="Times New Roman" w:hAnsi="Times New Roman" w:cs="Times New Roman"/>
          <w:sz w:val="24"/>
          <w:szCs w:val="24"/>
        </w:rPr>
        <w:t>Maka</w:t>
      </w:r>
      <w:proofErr w:type="spellEnd"/>
      <w:r w:rsidR="00A147EA" w:rsidRPr="00B14ED8">
        <w:rPr>
          <w:rFonts w:ascii="Times New Roman" w:eastAsia="Times New Roman" w:hAnsi="Times New Roman" w:cs="Times New Roman"/>
          <w:sz w:val="24"/>
          <w:szCs w:val="24"/>
        </w:rPr>
        <w:t xml:space="preserve"> </w:t>
      </w:r>
      <w:proofErr w:type="spellStart"/>
      <w:r w:rsidR="00A147EA" w:rsidRPr="00B14ED8">
        <w:rPr>
          <w:rFonts w:ascii="Times New Roman" w:eastAsia="Times New Roman" w:hAnsi="Times New Roman" w:cs="Times New Roman"/>
          <w:sz w:val="24"/>
          <w:szCs w:val="24"/>
        </w:rPr>
        <w:t>dari</w:t>
      </w:r>
      <w:proofErr w:type="spellEnd"/>
      <w:r w:rsidR="00A147EA" w:rsidRPr="00B14ED8">
        <w:rPr>
          <w:rFonts w:ascii="Times New Roman" w:eastAsia="Times New Roman" w:hAnsi="Times New Roman" w:cs="Times New Roman"/>
          <w:sz w:val="24"/>
          <w:szCs w:val="24"/>
        </w:rPr>
        <w:t xml:space="preserve"> </w:t>
      </w:r>
      <w:proofErr w:type="spellStart"/>
      <w:r w:rsidR="00A147EA" w:rsidRPr="00B14ED8">
        <w:rPr>
          <w:rFonts w:ascii="Times New Roman" w:eastAsia="Times New Roman" w:hAnsi="Times New Roman" w:cs="Times New Roman"/>
          <w:sz w:val="24"/>
          <w:szCs w:val="24"/>
        </w:rPr>
        <w:t>itu</w:t>
      </w:r>
      <w:proofErr w:type="spellEnd"/>
      <w:r w:rsidR="00A147EA" w:rsidRPr="00B14ED8">
        <w:rPr>
          <w:rFonts w:ascii="Times New Roman" w:eastAsia="Times New Roman" w:hAnsi="Times New Roman" w:cs="Times New Roman"/>
          <w:sz w:val="24"/>
          <w:szCs w:val="24"/>
        </w:rPr>
        <w:t xml:space="preserve">, </w:t>
      </w:r>
      <w:proofErr w:type="spellStart"/>
      <w:r w:rsidR="00A147EA" w:rsidRPr="00B14ED8">
        <w:rPr>
          <w:rFonts w:ascii="Times New Roman" w:eastAsia="Times New Roman" w:hAnsi="Times New Roman" w:cs="Times New Roman"/>
          <w:sz w:val="24"/>
          <w:szCs w:val="24"/>
        </w:rPr>
        <w:t>penerapan</w:t>
      </w:r>
      <w:proofErr w:type="spellEnd"/>
      <w:r w:rsidR="00A147EA" w:rsidRPr="00B14ED8">
        <w:rPr>
          <w:rFonts w:ascii="Times New Roman" w:eastAsia="Times New Roman" w:hAnsi="Times New Roman" w:cs="Times New Roman"/>
          <w:sz w:val="24"/>
          <w:szCs w:val="24"/>
        </w:rPr>
        <w:t xml:space="preserve"> </w:t>
      </w:r>
      <w:proofErr w:type="spellStart"/>
      <w:r w:rsidR="00A147EA" w:rsidRPr="00B14ED8">
        <w:rPr>
          <w:rFonts w:ascii="Times New Roman" w:eastAsia="Times New Roman" w:hAnsi="Times New Roman" w:cs="Times New Roman"/>
          <w:sz w:val="24"/>
          <w:szCs w:val="24"/>
        </w:rPr>
        <w:t>praktik</w:t>
      </w:r>
      <w:proofErr w:type="spellEnd"/>
      <w:r w:rsidR="00A147EA" w:rsidRPr="00B14ED8">
        <w:rPr>
          <w:rFonts w:ascii="Times New Roman" w:eastAsia="Times New Roman" w:hAnsi="Times New Roman" w:cs="Times New Roman"/>
          <w:sz w:val="24"/>
          <w:szCs w:val="24"/>
        </w:rPr>
        <w:t xml:space="preserve"> </w:t>
      </w:r>
      <w:proofErr w:type="spellStart"/>
      <w:r w:rsidR="00A147EA" w:rsidRPr="00B14ED8">
        <w:rPr>
          <w:rFonts w:ascii="Times New Roman" w:eastAsia="Times New Roman" w:hAnsi="Times New Roman" w:cs="Times New Roman"/>
          <w:sz w:val="24"/>
          <w:szCs w:val="24"/>
        </w:rPr>
        <w:t>transparansi</w:t>
      </w:r>
      <w:proofErr w:type="spellEnd"/>
      <w:r w:rsidR="00A147EA" w:rsidRPr="00B14ED8">
        <w:rPr>
          <w:rFonts w:ascii="Times New Roman" w:eastAsia="Times New Roman" w:hAnsi="Times New Roman" w:cs="Times New Roman"/>
          <w:sz w:val="24"/>
          <w:szCs w:val="24"/>
        </w:rPr>
        <w:t xml:space="preserve"> dan </w:t>
      </w:r>
      <w:proofErr w:type="spellStart"/>
      <w:r w:rsidR="005A2860" w:rsidRPr="00B14ED8">
        <w:rPr>
          <w:rFonts w:ascii="Times New Roman" w:eastAsia="Times New Roman" w:hAnsi="Times New Roman" w:cs="Times New Roman"/>
          <w:sz w:val="24"/>
          <w:szCs w:val="24"/>
        </w:rPr>
        <w:t>pendekatan</w:t>
      </w:r>
      <w:proofErr w:type="spellEnd"/>
      <w:r w:rsidR="00A147EA" w:rsidRPr="00B14ED8">
        <w:rPr>
          <w:rFonts w:ascii="Times New Roman" w:eastAsia="Times New Roman" w:hAnsi="Times New Roman" w:cs="Times New Roman"/>
          <w:sz w:val="24"/>
          <w:szCs w:val="24"/>
        </w:rPr>
        <w:t xml:space="preserve"> yang </w:t>
      </w:r>
      <w:proofErr w:type="spellStart"/>
      <w:r w:rsidR="00A147EA" w:rsidRPr="00B14ED8">
        <w:rPr>
          <w:rFonts w:ascii="Times New Roman" w:eastAsia="Times New Roman" w:hAnsi="Times New Roman" w:cs="Times New Roman"/>
          <w:sz w:val="24"/>
          <w:szCs w:val="24"/>
        </w:rPr>
        <w:t>baik</w:t>
      </w:r>
      <w:proofErr w:type="spellEnd"/>
      <w:r w:rsidR="00A147EA" w:rsidRPr="00B14ED8">
        <w:rPr>
          <w:rFonts w:ascii="Times New Roman" w:eastAsia="Times New Roman" w:hAnsi="Times New Roman" w:cs="Times New Roman"/>
          <w:sz w:val="24"/>
          <w:szCs w:val="24"/>
        </w:rPr>
        <w:t xml:space="preserve"> </w:t>
      </w:r>
      <w:proofErr w:type="spellStart"/>
      <w:r w:rsidR="005D4BCE" w:rsidRPr="00B14ED8">
        <w:rPr>
          <w:rFonts w:ascii="Times New Roman" w:eastAsia="Times New Roman" w:hAnsi="Times New Roman" w:cs="Times New Roman"/>
          <w:sz w:val="24"/>
          <w:szCs w:val="24"/>
        </w:rPr>
        <w:t>harus</w:t>
      </w:r>
      <w:proofErr w:type="spellEnd"/>
      <w:r w:rsidR="005D4BCE" w:rsidRPr="00B14ED8">
        <w:rPr>
          <w:rFonts w:ascii="Times New Roman" w:eastAsia="Times New Roman" w:hAnsi="Times New Roman" w:cs="Times New Roman"/>
          <w:sz w:val="24"/>
          <w:szCs w:val="24"/>
        </w:rPr>
        <w:t xml:space="preserve"> </w:t>
      </w:r>
      <w:proofErr w:type="spellStart"/>
      <w:r w:rsidR="005D4BCE" w:rsidRPr="00B14ED8">
        <w:rPr>
          <w:rFonts w:ascii="Times New Roman" w:eastAsia="Times New Roman" w:hAnsi="Times New Roman" w:cs="Times New Roman"/>
          <w:sz w:val="24"/>
          <w:szCs w:val="24"/>
        </w:rPr>
        <w:t>dilakukan</w:t>
      </w:r>
      <w:proofErr w:type="spellEnd"/>
      <w:r w:rsidR="005D4BCE" w:rsidRPr="00B14ED8">
        <w:rPr>
          <w:rFonts w:ascii="Times New Roman" w:eastAsia="Times New Roman" w:hAnsi="Times New Roman" w:cs="Times New Roman"/>
          <w:sz w:val="24"/>
          <w:szCs w:val="24"/>
        </w:rPr>
        <w:t xml:space="preserve"> </w:t>
      </w:r>
      <w:proofErr w:type="spellStart"/>
      <w:r w:rsidR="005D4BCE" w:rsidRPr="00B14ED8">
        <w:rPr>
          <w:rFonts w:ascii="Times New Roman" w:eastAsia="Times New Roman" w:hAnsi="Times New Roman" w:cs="Times New Roman"/>
          <w:sz w:val="24"/>
          <w:szCs w:val="24"/>
        </w:rPr>
        <w:t>untuk</w:t>
      </w:r>
      <w:proofErr w:type="spellEnd"/>
      <w:r w:rsidR="005D4BCE" w:rsidRPr="00B14ED8">
        <w:rPr>
          <w:rFonts w:ascii="Times New Roman" w:eastAsia="Times New Roman" w:hAnsi="Times New Roman" w:cs="Times New Roman"/>
          <w:sz w:val="24"/>
          <w:szCs w:val="24"/>
        </w:rPr>
        <w:t xml:space="preserve"> </w:t>
      </w:r>
      <w:proofErr w:type="spellStart"/>
      <w:r w:rsidR="00A147EA" w:rsidRPr="00B14ED8">
        <w:rPr>
          <w:rFonts w:ascii="Times New Roman" w:eastAsia="Times New Roman" w:hAnsi="Times New Roman" w:cs="Times New Roman"/>
          <w:sz w:val="24"/>
          <w:szCs w:val="24"/>
        </w:rPr>
        <w:t>mengatasi</w:t>
      </w:r>
      <w:proofErr w:type="spellEnd"/>
      <w:r w:rsidR="00A147EA" w:rsidRPr="00B14ED8">
        <w:rPr>
          <w:rFonts w:ascii="Times New Roman" w:eastAsia="Times New Roman" w:hAnsi="Times New Roman" w:cs="Times New Roman"/>
          <w:sz w:val="24"/>
          <w:szCs w:val="24"/>
        </w:rPr>
        <w:t xml:space="preserve"> </w:t>
      </w:r>
      <w:proofErr w:type="spellStart"/>
      <w:r w:rsidR="00A147EA" w:rsidRPr="00B14ED8">
        <w:rPr>
          <w:rFonts w:ascii="Times New Roman" w:eastAsia="Times New Roman" w:hAnsi="Times New Roman" w:cs="Times New Roman"/>
          <w:sz w:val="24"/>
          <w:szCs w:val="24"/>
        </w:rPr>
        <w:t>potensi</w:t>
      </w:r>
      <w:proofErr w:type="spellEnd"/>
      <w:r w:rsidR="00A147EA" w:rsidRPr="00B14ED8">
        <w:rPr>
          <w:rFonts w:ascii="Times New Roman" w:eastAsia="Times New Roman" w:hAnsi="Times New Roman" w:cs="Times New Roman"/>
          <w:sz w:val="24"/>
          <w:szCs w:val="24"/>
        </w:rPr>
        <w:t xml:space="preserve"> </w:t>
      </w:r>
      <w:proofErr w:type="spellStart"/>
      <w:r w:rsidR="00A147EA" w:rsidRPr="00B14ED8">
        <w:rPr>
          <w:rFonts w:ascii="Times New Roman" w:eastAsia="Times New Roman" w:hAnsi="Times New Roman" w:cs="Times New Roman"/>
          <w:sz w:val="24"/>
          <w:szCs w:val="24"/>
        </w:rPr>
        <w:t>asimetri</w:t>
      </w:r>
      <w:proofErr w:type="spellEnd"/>
      <w:r w:rsidR="00A147EA" w:rsidRPr="00B14ED8">
        <w:rPr>
          <w:rFonts w:ascii="Times New Roman" w:eastAsia="Times New Roman" w:hAnsi="Times New Roman" w:cs="Times New Roman"/>
          <w:sz w:val="24"/>
          <w:szCs w:val="24"/>
        </w:rPr>
        <w:t xml:space="preserve"> </w:t>
      </w:r>
      <w:proofErr w:type="spellStart"/>
      <w:r w:rsidR="00A147EA" w:rsidRPr="00B14ED8">
        <w:rPr>
          <w:rFonts w:ascii="Times New Roman" w:eastAsia="Times New Roman" w:hAnsi="Times New Roman" w:cs="Times New Roman"/>
          <w:sz w:val="24"/>
          <w:szCs w:val="24"/>
        </w:rPr>
        <w:t>informasi</w:t>
      </w:r>
      <w:proofErr w:type="spellEnd"/>
      <w:r w:rsidR="00A147EA" w:rsidRPr="00B14ED8">
        <w:rPr>
          <w:rFonts w:ascii="Times New Roman" w:eastAsia="Times New Roman" w:hAnsi="Times New Roman" w:cs="Times New Roman"/>
          <w:sz w:val="24"/>
          <w:szCs w:val="24"/>
        </w:rPr>
        <w:t xml:space="preserve">. </w:t>
      </w:r>
      <w:proofErr w:type="spellStart"/>
      <w:r w:rsidR="00AF29A5" w:rsidRPr="00B14ED8">
        <w:rPr>
          <w:rFonts w:ascii="Times New Roman" w:eastAsia="Times New Roman" w:hAnsi="Times New Roman" w:cs="Times New Roman"/>
          <w:sz w:val="24"/>
          <w:szCs w:val="24"/>
        </w:rPr>
        <w:t>Penerapan</w:t>
      </w:r>
      <w:proofErr w:type="spellEnd"/>
      <w:r w:rsidR="00AF29A5" w:rsidRPr="00B14ED8">
        <w:rPr>
          <w:rFonts w:ascii="Times New Roman" w:eastAsia="Times New Roman" w:hAnsi="Times New Roman" w:cs="Times New Roman"/>
          <w:sz w:val="24"/>
          <w:szCs w:val="24"/>
        </w:rPr>
        <w:t xml:space="preserve"> </w:t>
      </w:r>
      <w:proofErr w:type="spellStart"/>
      <w:r w:rsidR="00AF29A5" w:rsidRPr="00B14ED8">
        <w:rPr>
          <w:rFonts w:ascii="Times New Roman" w:eastAsia="Times New Roman" w:hAnsi="Times New Roman" w:cs="Times New Roman"/>
          <w:sz w:val="24"/>
          <w:szCs w:val="24"/>
        </w:rPr>
        <w:t>kedua</w:t>
      </w:r>
      <w:proofErr w:type="spellEnd"/>
      <w:r w:rsidR="00AF29A5" w:rsidRPr="00B14ED8">
        <w:rPr>
          <w:rFonts w:ascii="Times New Roman" w:eastAsia="Times New Roman" w:hAnsi="Times New Roman" w:cs="Times New Roman"/>
          <w:sz w:val="24"/>
          <w:szCs w:val="24"/>
        </w:rPr>
        <w:t xml:space="preserve"> </w:t>
      </w:r>
      <w:proofErr w:type="spellStart"/>
      <w:r w:rsidR="00AF29A5" w:rsidRPr="00B14ED8">
        <w:rPr>
          <w:rFonts w:ascii="Times New Roman" w:eastAsia="Times New Roman" w:hAnsi="Times New Roman" w:cs="Times New Roman"/>
          <w:sz w:val="24"/>
          <w:szCs w:val="24"/>
        </w:rPr>
        <w:t>aspek</w:t>
      </w:r>
      <w:proofErr w:type="spellEnd"/>
      <w:r w:rsidR="00AF29A5" w:rsidRPr="00B14ED8">
        <w:rPr>
          <w:rFonts w:ascii="Times New Roman" w:eastAsia="Times New Roman" w:hAnsi="Times New Roman" w:cs="Times New Roman"/>
          <w:sz w:val="24"/>
          <w:szCs w:val="24"/>
        </w:rPr>
        <w:t xml:space="preserve"> </w:t>
      </w:r>
      <w:proofErr w:type="spellStart"/>
      <w:r w:rsidR="00AF29A5" w:rsidRPr="00B14ED8">
        <w:rPr>
          <w:rFonts w:ascii="Times New Roman" w:eastAsia="Times New Roman" w:hAnsi="Times New Roman" w:cs="Times New Roman"/>
          <w:sz w:val="24"/>
          <w:szCs w:val="24"/>
        </w:rPr>
        <w:t>tersebut</w:t>
      </w:r>
      <w:proofErr w:type="spellEnd"/>
      <w:r w:rsidR="00AF29A5" w:rsidRPr="00B14ED8">
        <w:rPr>
          <w:rFonts w:ascii="Times New Roman" w:eastAsia="Times New Roman" w:hAnsi="Times New Roman" w:cs="Times New Roman"/>
          <w:sz w:val="24"/>
          <w:szCs w:val="24"/>
        </w:rPr>
        <w:t xml:space="preserve"> </w:t>
      </w:r>
      <w:proofErr w:type="spellStart"/>
      <w:r w:rsidR="00AF29A5" w:rsidRPr="00B14ED8">
        <w:rPr>
          <w:rFonts w:ascii="Times New Roman" w:eastAsia="Times New Roman" w:hAnsi="Times New Roman" w:cs="Times New Roman"/>
          <w:sz w:val="24"/>
          <w:szCs w:val="24"/>
        </w:rPr>
        <w:t>ditujukan</w:t>
      </w:r>
      <w:proofErr w:type="spellEnd"/>
      <w:r w:rsidR="00AF29A5" w:rsidRPr="00B14ED8">
        <w:rPr>
          <w:rFonts w:ascii="Times New Roman" w:eastAsia="Times New Roman" w:hAnsi="Times New Roman" w:cs="Times New Roman"/>
          <w:sz w:val="24"/>
          <w:szCs w:val="24"/>
        </w:rPr>
        <w:t xml:space="preserve"> </w:t>
      </w:r>
      <w:proofErr w:type="spellStart"/>
      <w:r w:rsidR="00AF29A5" w:rsidRPr="00B14ED8">
        <w:rPr>
          <w:rFonts w:ascii="Times New Roman" w:eastAsia="Times New Roman" w:hAnsi="Times New Roman" w:cs="Times New Roman"/>
          <w:sz w:val="24"/>
          <w:szCs w:val="24"/>
        </w:rPr>
        <w:t>untuk</w:t>
      </w:r>
      <w:proofErr w:type="spellEnd"/>
      <w:r w:rsidR="00AF29A5" w:rsidRPr="00B14ED8">
        <w:rPr>
          <w:rFonts w:ascii="Times New Roman" w:eastAsia="Times New Roman" w:hAnsi="Times New Roman" w:cs="Times New Roman"/>
          <w:sz w:val="24"/>
          <w:szCs w:val="24"/>
        </w:rPr>
        <w:t xml:space="preserve"> </w:t>
      </w:r>
      <w:proofErr w:type="spellStart"/>
      <w:r w:rsidR="00A147EA" w:rsidRPr="00B14ED8">
        <w:rPr>
          <w:rFonts w:ascii="Times New Roman" w:eastAsia="Times New Roman" w:hAnsi="Times New Roman" w:cs="Times New Roman"/>
          <w:sz w:val="24"/>
          <w:szCs w:val="24"/>
        </w:rPr>
        <w:t>membangun</w:t>
      </w:r>
      <w:proofErr w:type="spellEnd"/>
      <w:r w:rsidR="00A147EA" w:rsidRPr="00B14ED8">
        <w:rPr>
          <w:rFonts w:ascii="Times New Roman" w:eastAsia="Times New Roman" w:hAnsi="Times New Roman" w:cs="Times New Roman"/>
          <w:sz w:val="24"/>
          <w:szCs w:val="24"/>
        </w:rPr>
        <w:t xml:space="preserve"> </w:t>
      </w:r>
      <w:proofErr w:type="spellStart"/>
      <w:r w:rsidR="00EC71E3" w:rsidRPr="00B14ED8">
        <w:rPr>
          <w:rFonts w:ascii="Times New Roman" w:eastAsia="Times New Roman" w:hAnsi="Times New Roman" w:cs="Times New Roman"/>
          <w:sz w:val="24"/>
          <w:szCs w:val="24"/>
        </w:rPr>
        <w:t>nilai</w:t>
      </w:r>
      <w:proofErr w:type="spellEnd"/>
      <w:r w:rsidR="00EC71E3" w:rsidRPr="00B14ED8">
        <w:rPr>
          <w:rFonts w:ascii="Times New Roman" w:eastAsia="Times New Roman" w:hAnsi="Times New Roman" w:cs="Times New Roman"/>
          <w:sz w:val="24"/>
          <w:szCs w:val="24"/>
        </w:rPr>
        <w:t xml:space="preserve"> </w:t>
      </w:r>
      <w:proofErr w:type="spellStart"/>
      <w:r w:rsidR="00A147EA" w:rsidRPr="00B14ED8">
        <w:rPr>
          <w:rFonts w:ascii="Times New Roman" w:eastAsia="Times New Roman" w:hAnsi="Times New Roman" w:cs="Times New Roman"/>
          <w:sz w:val="24"/>
          <w:szCs w:val="24"/>
        </w:rPr>
        <w:t>kepercayaan</w:t>
      </w:r>
      <w:proofErr w:type="spellEnd"/>
      <w:r w:rsidR="00A147EA" w:rsidRPr="00B14ED8">
        <w:rPr>
          <w:rFonts w:ascii="Times New Roman" w:eastAsia="Times New Roman" w:hAnsi="Times New Roman" w:cs="Times New Roman"/>
          <w:sz w:val="24"/>
          <w:szCs w:val="24"/>
        </w:rPr>
        <w:t xml:space="preserve"> </w:t>
      </w:r>
      <w:proofErr w:type="spellStart"/>
      <w:r w:rsidR="00A147EA" w:rsidRPr="00B14ED8">
        <w:rPr>
          <w:rFonts w:ascii="Times New Roman" w:eastAsia="Times New Roman" w:hAnsi="Times New Roman" w:cs="Times New Roman"/>
          <w:sz w:val="24"/>
          <w:szCs w:val="24"/>
        </w:rPr>
        <w:t>antara</w:t>
      </w:r>
      <w:proofErr w:type="spellEnd"/>
      <w:r w:rsidR="00A147EA" w:rsidRPr="00B14ED8">
        <w:rPr>
          <w:rFonts w:ascii="Times New Roman" w:eastAsia="Times New Roman" w:hAnsi="Times New Roman" w:cs="Times New Roman"/>
          <w:sz w:val="24"/>
          <w:szCs w:val="24"/>
        </w:rPr>
        <w:t xml:space="preserve"> </w:t>
      </w:r>
      <w:proofErr w:type="spellStart"/>
      <w:r w:rsidR="00A147EA" w:rsidRPr="00B14ED8">
        <w:rPr>
          <w:rFonts w:ascii="Times New Roman" w:eastAsia="Times New Roman" w:hAnsi="Times New Roman" w:cs="Times New Roman"/>
          <w:sz w:val="24"/>
          <w:szCs w:val="24"/>
        </w:rPr>
        <w:t>pihak</w:t>
      </w:r>
      <w:proofErr w:type="spellEnd"/>
      <w:r w:rsidR="00A147EA" w:rsidRPr="00B14ED8">
        <w:rPr>
          <w:rFonts w:ascii="Times New Roman" w:eastAsia="Times New Roman" w:hAnsi="Times New Roman" w:cs="Times New Roman"/>
          <w:sz w:val="24"/>
          <w:szCs w:val="24"/>
        </w:rPr>
        <w:t xml:space="preserve"> yang </w:t>
      </w:r>
      <w:proofErr w:type="spellStart"/>
      <w:r w:rsidR="00A147EA" w:rsidRPr="00B14ED8">
        <w:rPr>
          <w:rFonts w:ascii="Times New Roman" w:eastAsia="Times New Roman" w:hAnsi="Times New Roman" w:cs="Times New Roman"/>
          <w:sz w:val="24"/>
          <w:szCs w:val="24"/>
        </w:rPr>
        <w:t>terlibat</w:t>
      </w:r>
      <w:proofErr w:type="spellEnd"/>
      <w:r w:rsidR="00FD343C" w:rsidRPr="00B14ED8">
        <w:rPr>
          <w:rFonts w:ascii="Times New Roman" w:eastAsia="Times New Roman" w:hAnsi="Times New Roman" w:cs="Times New Roman"/>
          <w:sz w:val="24"/>
          <w:szCs w:val="24"/>
        </w:rPr>
        <w:t xml:space="preserve">, </w:t>
      </w:r>
      <w:proofErr w:type="spellStart"/>
      <w:r w:rsidR="00FD343C" w:rsidRPr="00B14ED8">
        <w:rPr>
          <w:rFonts w:ascii="Times New Roman" w:eastAsia="Times New Roman" w:hAnsi="Times New Roman" w:cs="Times New Roman"/>
          <w:sz w:val="24"/>
          <w:szCs w:val="24"/>
        </w:rPr>
        <w:t>sehingga</w:t>
      </w:r>
      <w:proofErr w:type="spellEnd"/>
      <w:r w:rsidR="00A57B74" w:rsidRPr="00B14ED8">
        <w:rPr>
          <w:rFonts w:ascii="Times New Roman" w:eastAsia="Times New Roman" w:hAnsi="Times New Roman" w:cs="Times New Roman"/>
          <w:sz w:val="24"/>
          <w:szCs w:val="24"/>
        </w:rPr>
        <w:t xml:space="preserve"> </w:t>
      </w:r>
      <w:proofErr w:type="spellStart"/>
      <w:r w:rsidR="00A57B74" w:rsidRPr="00B14ED8">
        <w:rPr>
          <w:rFonts w:ascii="Times New Roman" w:eastAsia="Times New Roman" w:hAnsi="Times New Roman" w:cs="Times New Roman"/>
          <w:sz w:val="24"/>
          <w:szCs w:val="24"/>
        </w:rPr>
        <w:t>potensi</w:t>
      </w:r>
      <w:proofErr w:type="spellEnd"/>
      <w:r w:rsidR="00A57B74" w:rsidRPr="00B14ED8">
        <w:rPr>
          <w:rFonts w:ascii="Times New Roman" w:eastAsia="Times New Roman" w:hAnsi="Times New Roman" w:cs="Times New Roman"/>
          <w:sz w:val="24"/>
          <w:szCs w:val="24"/>
        </w:rPr>
        <w:t xml:space="preserve"> </w:t>
      </w:r>
      <w:r w:rsidR="00A57B74" w:rsidRPr="00B14ED8">
        <w:rPr>
          <w:rFonts w:ascii="Times New Roman" w:eastAsia="Times New Roman" w:hAnsi="Times New Roman" w:cs="Times New Roman"/>
          <w:i/>
          <w:iCs/>
          <w:sz w:val="24"/>
          <w:szCs w:val="24"/>
        </w:rPr>
        <w:t xml:space="preserve">moral hazard </w:t>
      </w:r>
      <w:r w:rsidR="00A57B74" w:rsidRPr="00B14ED8">
        <w:rPr>
          <w:rFonts w:ascii="Times New Roman" w:eastAsia="Times New Roman" w:hAnsi="Times New Roman" w:cs="Times New Roman"/>
          <w:sz w:val="24"/>
          <w:szCs w:val="24"/>
        </w:rPr>
        <w:t xml:space="preserve">dan </w:t>
      </w:r>
      <w:proofErr w:type="spellStart"/>
      <w:r w:rsidR="00A57B74" w:rsidRPr="00B14ED8">
        <w:rPr>
          <w:rFonts w:ascii="Times New Roman" w:eastAsia="Times New Roman" w:hAnsi="Times New Roman" w:cs="Times New Roman"/>
          <w:sz w:val="24"/>
          <w:szCs w:val="24"/>
        </w:rPr>
        <w:t>terjadinya</w:t>
      </w:r>
      <w:proofErr w:type="spellEnd"/>
      <w:r w:rsidR="00A57B74" w:rsidRPr="00B14ED8">
        <w:rPr>
          <w:rFonts w:ascii="Times New Roman" w:eastAsia="Times New Roman" w:hAnsi="Times New Roman" w:cs="Times New Roman"/>
          <w:sz w:val="24"/>
          <w:szCs w:val="24"/>
        </w:rPr>
        <w:t xml:space="preserve"> </w:t>
      </w:r>
      <w:proofErr w:type="spellStart"/>
      <w:r w:rsidR="00A57B74" w:rsidRPr="00B14ED8">
        <w:rPr>
          <w:rFonts w:ascii="Times New Roman" w:eastAsia="Times New Roman" w:hAnsi="Times New Roman" w:cs="Times New Roman"/>
          <w:sz w:val="24"/>
          <w:szCs w:val="24"/>
        </w:rPr>
        <w:t>asimetri</w:t>
      </w:r>
      <w:proofErr w:type="spellEnd"/>
      <w:r w:rsidR="00A57B74" w:rsidRPr="00B14ED8">
        <w:rPr>
          <w:rFonts w:ascii="Times New Roman" w:eastAsia="Times New Roman" w:hAnsi="Times New Roman" w:cs="Times New Roman"/>
          <w:sz w:val="24"/>
          <w:szCs w:val="24"/>
        </w:rPr>
        <w:t xml:space="preserve"> </w:t>
      </w:r>
      <w:proofErr w:type="spellStart"/>
      <w:r w:rsidR="00A57B74" w:rsidRPr="00B14ED8">
        <w:rPr>
          <w:rFonts w:ascii="Times New Roman" w:eastAsia="Times New Roman" w:hAnsi="Times New Roman" w:cs="Times New Roman"/>
          <w:sz w:val="24"/>
          <w:szCs w:val="24"/>
        </w:rPr>
        <w:t>informasi</w:t>
      </w:r>
      <w:proofErr w:type="spellEnd"/>
      <w:r w:rsidR="00A57B74" w:rsidRPr="00B14ED8">
        <w:rPr>
          <w:rFonts w:ascii="Times New Roman" w:eastAsia="Times New Roman" w:hAnsi="Times New Roman" w:cs="Times New Roman"/>
          <w:sz w:val="24"/>
          <w:szCs w:val="24"/>
        </w:rPr>
        <w:t xml:space="preserve"> pada</w:t>
      </w:r>
      <w:r w:rsidR="00FD343C" w:rsidRPr="00B14ED8">
        <w:rPr>
          <w:rFonts w:ascii="Times New Roman" w:eastAsia="Times New Roman" w:hAnsi="Times New Roman" w:cs="Times New Roman"/>
          <w:sz w:val="24"/>
          <w:szCs w:val="24"/>
        </w:rPr>
        <w:t xml:space="preserve"> </w:t>
      </w:r>
      <w:proofErr w:type="spellStart"/>
      <w:r w:rsidR="00A147EA" w:rsidRPr="00B14ED8">
        <w:rPr>
          <w:rFonts w:ascii="Times New Roman" w:eastAsia="Times New Roman" w:hAnsi="Times New Roman" w:cs="Times New Roman"/>
          <w:sz w:val="24"/>
          <w:szCs w:val="24"/>
        </w:rPr>
        <w:t>sistem</w:t>
      </w:r>
      <w:proofErr w:type="spellEnd"/>
      <w:r w:rsidR="00A147EA" w:rsidRPr="00B14ED8">
        <w:rPr>
          <w:rFonts w:ascii="Times New Roman" w:eastAsia="Times New Roman" w:hAnsi="Times New Roman" w:cs="Times New Roman"/>
          <w:sz w:val="24"/>
          <w:szCs w:val="24"/>
        </w:rPr>
        <w:t xml:space="preserve"> PLS</w:t>
      </w:r>
      <w:r w:rsidR="00FD343C" w:rsidRPr="00B14ED8">
        <w:rPr>
          <w:rFonts w:ascii="Times New Roman" w:eastAsia="Times New Roman" w:hAnsi="Times New Roman" w:cs="Times New Roman"/>
          <w:sz w:val="24"/>
          <w:szCs w:val="24"/>
        </w:rPr>
        <w:t xml:space="preserve"> </w:t>
      </w:r>
      <w:proofErr w:type="spellStart"/>
      <w:r w:rsidR="00FD343C" w:rsidRPr="00B14ED8">
        <w:rPr>
          <w:rFonts w:ascii="Times New Roman" w:eastAsia="Times New Roman" w:hAnsi="Times New Roman" w:cs="Times New Roman"/>
          <w:sz w:val="24"/>
          <w:szCs w:val="24"/>
        </w:rPr>
        <w:t>dapat</w:t>
      </w:r>
      <w:proofErr w:type="spellEnd"/>
      <w:r w:rsidR="00A41DA4" w:rsidRPr="00B14ED8">
        <w:rPr>
          <w:rFonts w:ascii="Times New Roman" w:eastAsia="Times New Roman" w:hAnsi="Times New Roman" w:cs="Times New Roman"/>
          <w:sz w:val="24"/>
          <w:szCs w:val="24"/>
        </w:rPr>
        <w:t xml:space="preserve"> </w:t>
      </w:r>
      <w:proofErr w:type="spellStart"/>
      <w:r w:rsidR="00A41DA4" w:rsidRPr="00B14ED8">
        <w:rPr>
          <w:rFonts w:ascii="Times New Roman" w:eastAsia="Times New Roman" w:hAnsi="Times New Roman" w:cs="Times New Roman"/>
          <w:sz w:val="24"/>
          <w:szCs w:val="24"/>
        </w:rPr>
        <w:t>diminimalkan</w:t>
      </w:r>
      <w:proofErr w:type="spellEnd"/>
      <w:r w:rsidR="00F727D4" w:rsidRPr="00B14ED8">
        <w:rPr>
          <w:rFonts w:ascii="Times New Roman" w:eastAsia="Times New Roman" w:hAnsi="Times New Roman" w:cs="Times New Roman"/>
          <w:sz w:val="24"/>
          <w:szCs w:val="24"/>
        </w:rPr>
        <w:fldChar w:fldCharType="begin" w:fldLock="1"/>
      </w:r>
      <w:r w:rsidR="00F727D4" w:rsidRPr="00B14ED8">
        <w:rPr>
          <w:rFonts w:ascii="Times New Roman" w:eastAsia="Times New Roman" w:hAnsi="Times New Roman" w:cs="Times New Roman"/>
          <w:sz w:val="24"/>
          <w:szCs w:val="24"/>
        </w:rPr>
        <w:instrText>ADDIN CSL_CITATION {"citationItems":[{"id":"ITEM-1","itemData":{"DOI":"10.1108/JIMA-01-2020-0015","ISBN":"0120200015","ISSN":"17590841","abstract":"Purpose: This paper aims to investigate the dynamic relationship between profit and loss sharing (PLS) financing and banking-specific variables, macroeconomic variables and religiosity in Indonesia. Design/methodology/approach: This study used seven variables, such as PLS financing, Islamic financing rate, risk-sharing deposits, bank size, interest rate, economic growth and level of religiosity. The data used were monthly time series during the 2009–2019 period, and they used the structural vector autoregression method plus ARDL and ECM as a robustness check mechanism. Findings: The results show that in the short term, PLS financing is more influenced by changes in the risk-sharing deposits and bank size variables. Meanwhile, analysis of variance decomposition illustrates that variations in PLS financing are more influenced by the dynamics of PLS financing itself than other variables. This finding also strengthens the characteristics of PLS financing that is immune to the influence of interest rates, and this result can strengthen the implementation of the PLS scheme as an alternative to the monetary channel in the dual banking system in Indonesia. Practical implications: The immunity of PLS financing to changes in interest rates has implications for the management of Islamic banking risk management. Evaluation must be carried out by increasing the skills of the bankers in response to losses arising from moral hazard and asymmetric information. Originality/value: This paper used empirical evidence to show the influence of internal and external factors toward PLS financing performance. To the best of the authors’ knowledge, the study on determinants of PLS financing is limited, particularly in the context of Indonesia.","author":[{"dropping-particle":"","family":"Ibrahim","given":"Zaini","non-dropping-particle":"","parse-names":false,"suffix":""},{"dropping-particle":"","family":"Effendi","given":"Nury","non-dropping-particle":"","parse-names":false,"suffix":""},{"dropping-particle":"","family":"Budiono","given":"B.","non-dropping-particle":"","parse-names":false,"suffix":""},{"dropping-particle":"","family":"Kurniawan","given":"Rudi","non-dropping-particle":"","parse-names":false,"suffix":""}],"container-title":"Journal of Islamic Marketing","id":"ITEM-1","issue":"9","issued":{"date-parts":[["2022"]]},"page":"1918-1939","title":"Determinants of profit and loss sharing financing in Indonesia","type":"article-journal","volume":"13"},"uris":["http://www.mendeley.com/documents/?uuid=cacef2e8-5bd3-4473-8196-1f699276dc90"]}],"mendeley":{"formattedCitation":"(Ibrahim et al., 2022)","plainTextFormattedCitation":"(Ibrahim et al., 2022)","previouslyFormattedCitation":"(Ibrahim et al., 2022)"},"properties":{"noteIndex":0},"schema":"https://github.com/citation-style-language/schema/raw/master/csl-citation.json"}</w:instrText>
      </w:r>
      <w:r w:rsidR="00F727D4" w:rsidRPr="00B14ED8">
        <w:rPr>
          <w:rFonts w:ascii="Times New Roman" w:eastAsia="Times New Roman" w:hAnsi="Times New Roman" w:cs="Times New Roman"/>
          <w:sz w:val="24"/>
          <w:szCs w:val="24"/>
        </w:rPr>
        <w:fldChar w:fldCharType="separate"/>
      </w:r>
      <w:r w:rsidR="00F727D4" w:rsidRPr="00B14ED8">
        <w:rPr>
          <w:rFonts w:ascii="Times New Roman" w:eastAsia="Times New Roman" w:hAnsi="Times New Roman" w:cs="Times New Roman"/>
          <w:noProof/>
          <w:sz w:val="24"/>
          <w:szCs w:val="24"/>
        </w:rPr>
        <w:t>(Ibrahim et al., 2022)</w:t>
      </w:r>
      <w:r w:rsidR="00F727D4" w:rsidRPr="00B14ED8">
        <w:rPr>
          <w:rFonts w:ascii="Times New Roman" w:eastAsia="Times New Roman" w:hAnsi="Times New Roman" w:cs="Times New Roman"/>
          <w:sz w:val="24"/>
          <w:szCs w:val="24"/>
        </w:rPr>
        <w:fldChar w:fldCharType="end"/>
      </w:r>
      <w:r w:rsidR="005B1812" w:rsidRPr="00B14ED8">
        <w:rPr>
          <w:rFonts w:ascii="Times New Roman" w:eastAsia="Times New Roman" w:hAnsi="Times New Roman" w:cs="Times New Roman"/>
          <w:sz w:val="24"/>
          <w:szCs w:val="24"/>
        </w:rPr>
        <w:t>.</w:t>
      </w:r>
    </w:p>
    <w:p w14:paraId="46B8F921" w14:textId="08CEA84B" w:rsidR="00167A00" w:rsidRPr="00B14ED8" w:rsidRDefault="00142470" w:rsidP="00B14ED8">
      <w:pPr>
        <w:tabs>
          <w:tab w:val="left" w:pos="567"/>
        </w:tabs>
        <w:spacing w:after="0" w:line="360" w:lineRule="auto"/>
        <w:jc w:val="both"/>
        <w:rPr>
          <w:rFonts w:ascii="Times New Roman" w:eastAsia="Times New Roman" w:hAnsi="Times New Roman" w:cs="Times New Roman"/>
          <w:b/>
          <w:bCs/>
          <w:i/>
          <w:iCs/>
          <w:sz w:val="24"/>
          <w:szCs w:val="24"/>
        </w:rPr>
      </w:pPr>
      <w:proofErr w:type="spellStart"/>
      <w:r w:rsidRPr="00B14ED8">
        <w:rPr>
          <w:rFonts w:ascii="Times New Roman" w:eastAsia="Times New Roman" w:hAnsi="Times New Roman" w:cs="Times New Roman"/>
          <w:b/>
          <w:bCs/>
          <w:sz w:val="24"/>
          <w:szCs w:val="24"/>
        </w:rPr>
        <w:t>Pembiayaan</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i/>
          <w:iCs/>
          <w:sz w:val="24"/>
          <w:szCs w:val="24"/>
        </w:rPr>
        <w:t>Mudharabah</w:t>
      </w:r>
      <w:proofErr w:type="spellEnd"/>
    </w:p>
    <w:p w14:paraId="186F2FF8" w14:textId="29D46113" w:rsidR="007151E8" w:rsidRPr="00B14ED8" w:rsidRDefault="00E52C33" w:rsidP="00B14ED8">
      <w:pPr>
        <w:spacing w:after="0" w:line="360" w:lineRule="auto"/>
        <w:ind w:firstLine="567"/>
        <w:jc w:val="both"/>
        <w:rPr>
          <w:rStyle w:val="fontstyle01"/>
          <w:rFonts w:ascii="Times New Roman" w:hAnsi="Times New Roman" w:cs="Times New Roman"/>
          <w:color w:val="000000" w:themeColor="text1"/>
          <w:sz w:val="24"/>
          <w:szCs w:val="24"/>
        </w:rPr>
      </w:pPr>
      <w:proofErr w:type="spellStart"/>
      <w:r w:rsidRPr="00B14ED8">
        <w:rPr>
          <w:rFonts w:ascii="Times New Roman" w:eastAsia="Times New Roman" w:hAnsi="Times New Roman" w:cs="Times New Roman"/>
          <w:sz w:val="24"/>
          <w:szCs w:val="24"/>
        </w:rPr>
        <w:t>Pembiayaan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i/>
          <w:iCs/>
          <w:sz w:val="24"/>
          <w:szCs w:val="24"/>
        </w:rPr>
        <w:t>mudharabah</w:t>
      </w:r>
      <w:proofErr w:type="spellEnd"/>
      <w:r w:rsidRPr="00B14ED8">
        <w:rPr>
          <w:rFonts w:ascii="Times New Roman" w:eastAsia="Times New Roman" w:hAnsi="Times New Roman" w:cs="Times New Roman"/>
          <w:i/>
          <w:iCs/>
          <w:sz w:val="24"/>
          <w:szCs w:val="24"/>
        </w:rPr>
        <w:t xml:space="preserve"> </w:t>
      </w:r>
      <w:proofErr w:type="spellStart"/>
      <w:r w:rsidRPr="00B14ED8">
        <w:rPr>
          <w:rFonts w:ascii="Times New Roman" w:eastAsia="Times New Roman" w:hAnsi="Times New Roman" w:cs="Times New Roman"/>
          <w:sz w:val="24"/>
          <w:szCs w:val="24"/>
        </w:rPr>
        <w:t>merupakan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akad</w:t>
      </w:r>
      <w:proofErr w:type="spellEnd"/>
      <w:r w:rsidRPr="00B14ED8">
        <w:rPr>
          <w:rFonts w:ascii="Times New Roman" w:eastAsia="Times New Roman" w:hAnsi="Times New Roman" w:cs="Times New Roman"/>
          <w:sz w:val="24"/>
          <w:szCs w:val="24"/>
        </w:rPr>
        <w:t xml:space="preserve"> </w:t>
      </w:r>
      <w:proofErr w:type="spellStart"/>
      <w:r w:rsidR="00721468" w:rsidRPr="00B14ED8">
        <w:rPr>
          <w:rFonts w:ascii="Times New Roman" w:eastAsia="Times New Roman" w:hAnsi="Times New Roman" w:cs="Times New Roman"/>
          <w:sz w:val="24"/>
          <w:szCs w:val="24"/>
        </w:rPr>
        <w:t>kerja</w:t>
      </w:r>
      <w:proofErr w:type="spellEnd"/>
      <w:r w:rsidR="00721468" w:rsidRPr="00B14ED8">
        <w:rPr>
          <w:rFonts w:ascii="Times New Roman" w:eastAsia="Times New Roman" w:hAnsi="Times New Roman" w:cs="Times New Roman"/>
          <w:sz w:val="24"/>
          <w:szCs w:val="24"/>
        </w:rPr>
        <w:t xml:space="preserve"> </w:t>
      </w:r>
      <w:proofErr w:type="spellStart"/>
      <w:r w:rsidR="00721468" w:rsidRPr="00B14ED8">
        <w:rPr>
          <w:rFonts w:ascii="Times New Roman" w:eastAsia="Times New Roman" w:hAnsi="Times New Roman" w:cs="Times New Roman"/>
          <w:sz w:val="24"/>
          <w:szCs w:val="24"/>
        </w:rPr>
        <w:t>sama</w:t>
      </w:r>
      <w:proofErr w:type="spellEnd"/>
      <w:r w:rsidR="00721468"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dimana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lembaga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perbankan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syariah</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berperan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sebagai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penyedia</w:t>
      </w:r>
      <w:proofErr w:type="spellEnd"/>
      <w:r w:rsidRPr="00B14ED8">
        <w:rPr>
          <w:rFonts w:ascii="Times New Roman" w:eastAsia="Times New Roman" w:hAnsi="Times New Roman" w:cs="Times New Roman"/>
          <w:sz w:val="24"/>
          <w:szCs w:val="24"/>
        </w:rPr>
        <w:t xml:space="preserve"> modal</w:t>
      </w:r>
      <w:r w:rsidR="00CC58EA"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i/>
          <w:iCs/>
          <w:sz w:val="24"/>
          <w:szCs w:val="24"/>
        </w:rPr>
        <w:t>rabb</w:t>
      </w:r>
      <w:proofErr w:type="spellEnd"/>
      <w:r w:rsidRPr="00B14ED8">
        <w:rPr>
          <w:rFonts w:ascii="Times New Roman" w:eastAsia="Times New Roman" w:hAnsi="Times New Roman" w:cs="Times New Roman"/>
          <w:i/>
          <w:iCs/>
          <w:sz w:val="24"/>
          <w:szCs w:val="24"/>
        </w:rPr>
        <w:t xml:space="preserve"> al-mal</w:t>
      </w:r>
      <w:r w:rsidR="00CC58EA" w:rsidRPr="00B14ED8">
        <w:rPr>
          <w:rFonts w:ascii="Times New Roman" w:eastAsia="Times New Roman" w:hAnsi="Times New Roman" w:cs="Times New Roman"/>
          <w:sz w:val="24"/>
          <w:szCs w:val="24"/>
        </w:rPr>
        <w:t>)</w:t>
      </w:r>
      <w:r w:rsidR="0055438B" w:rsidRPr="00B14ED8">
        <w:rPr>
          <w:rFonts w:ascii="Times New Roman" w:eastAsia="Times New Roman" w:hAnsi="Times New Roman" w:cs="Times New Roman"/>
          <w:sz w:val="24"/>
          <w:szCs w:val="24"/>
        </w:rPr>
        <w:t xml:space="preserve"> </w:t>
      </w:r>
      <w:proofErr w:type="spellStart"/>
      <w:r w:rsidR="0055438B" w:rsidRPr="00B14ED8">
        <w:rPr>
          <w:rFonts w:ascii="Times New Roman" w:eastAsia="Times New Roman" w:hAnsi="Times New Roman" w:cs="Times New Roman"/>
          <w:sz w:val="24"/>
          <w:szCs w:val="24"/>
        </w:rPr>
        <w:t>s</w:t>
      </w:r>
      <w:r w:rsidR="007918E1" w:rsidRPr="00B14ED8">
        <w:rPr>
          <w:rFonts w:ascii="Times New Roman" w:eastAsia="Times New Roman" w:hAnsi="Times New Roman" w:cs="Times New Roman"/>
          <w:sz w:val="24"/>
          <w:szCs w:val="24"/>
        </w:rPr>
        <w:t>ementara</w:t>
      </w:r>
      <w:proofErr w:type="spellEnd"/>
      <w:r w:rsidR="007918E1" w:rsidRPr="00B14ED8">
        <w:rPr>
          <w:rFonts w:ascii="Times New Roman" w:eastAsia="Times New Roman" w:hAnsi="Times New Roman" w:cs="Times New Roman"/>
          <w:sz w:val="24"/>
          <w:szCs w:val="24"/>
        </w:rPr>
        <w:t xml:space="preserve"> </w:t>
      </w:r>
      <w:proofErr w:type="spellStart"/>
      <w:r w:rsidR="007918E1" w:rsidRPr="00B14ED8">
        <w:rPr>
          <w:rFonts w:ascii="Times New Roman" w:eastAsia="Times New Roman" w:hAnsi="Times New Roman" w:cs="Times New Roman"/>
          <w:sz w:val="24"/>
          <w:szCs w:val="24"/>
        </w:rPr>
        <w:t>pihak</w:t>
      </w:r>
      <w:proofErr w:type="spellEnd"/>
      <w:r w:rsidR="007918E1" w:rsidRPr="00B14ED8">
        <w:rPr>
          <w:rFonts w:ascii="Times New Roman" w:eastAsia="Times New Roman" w:hAnsi="Times New Roman" w:cs="Times New Roman"/>
          <w:sz w:val="24"/>
          <w:szCs w:val="24"/>
        </w:rPr>
        <w:t xml:space="preserve"> </w:t>
      </w:r>
      <w:proofErr w:type="spellStart"/>
      <w:r w:rsidR="007918E1" w:rsidRPr="00B14ED8">
        <w:rPr>
          <w:rFonts w:ascii="Times New Roman" w:eastAsia="Times New Roman" w:hAnsi="Times New Roman" w:cs="Times New Roman"/>
          <w:sz w:val="24"/>
          <w:szCs w:val="24"/>
        </w:rPr>
        <w:t>nasabah</w:t>
      </w:r>
      <w:proofErr w:type="spellEnd"/>
      <w:r w:rsidRPr="00B14ED8">
        <w:rPr>
          <w:rFonts w:ascii="Times New Roman" w:eastAsia="Times New Roman" w:hAnsi="Times New Roman" w:cs="Times New Roman"/>
          <w:sz w:val="24"/>
          <w:szCs w:val="24"/>
        </w:rPr>
        <w:t xml:space="preserve"> yang </w:t>
      </w:r>
      <w:proofErr w:type="spellStart"/>
      <w:r w:rsidRPr="00B14ED8">
        <w:rPr>
          <w:rFonts w:ascii="Times New Roman" w:eastAsia="Times New Roman" w:hAnsi="Times New Roman" w:cs="Times New Roman"/>
          <w:sz w:val="24"/>
          <w:szCs w:val="24"/>
        </w:rPr>
        <w:t>merupakan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i/>
          <w:iCs/>
          <w:sz w:val="24"/>
          <w:szCs w:val="24"/>
        </w:rPr>
        <w:t>mudarib</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manajer</w:t>
      </w:r>
      <w:proofErr w:type="spellEnd"/>
      <w:r w:rsidRPr="00B14ED8">
        <w:rPr>
          <w:rFonts w:ascii="Times New Roman" w:eastAsia="Times New Roman" w:hAnsi="Times New Roman" w:cs="Times New Roman"/>
          <w:sz w:val="24"/>
          <w:szCs w:val="24"/>
        </w:rPr>
        <w:t xml:space="preserve">) </w:t>
      </w:r>
      <w:r w:rsidR="008524D8" w:rsidRPr="00B14ED8">
        <w:rPr>
          <w:rFonts w:ascii="Times New Roman" w:eastAsia="Times New Roman" w:hAnsi="Times New Roman" w:cs="Times New Roman"/>
          <w:sz w:val="24"/>
          <w:szCs w:val="24"/>
        </w:rPr>
        <w:t xml:space="preserve">yang </w:t>
      </w:r>
      <w:proofErr w:type="spellStart"/>
      <w:r w:rsidRPr="00B14ED8">
        <w:rPr>
          <w:rFonts w:ascii="Times New Roman" w:eastAsia="Times New Roman" w:hAnsi="Times New Roman" w:cs="Times New Roman"/>
          <w:sz w:val="24"/>
          <w:szCs w:val="24"/>
        </w:rPr>
        <w:t>bertanggung</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jawab</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penuh</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dalam</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mengelola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bisnis</w:t>
      </w:r>
      <w:proofErr w:type="spellEnd"/>
      <w:r w:rsidRPr="00B14ED8">
        <w:rPr>
          <w:rFonts w:ascii="Times New Roman" w:eastAsia="Times New Roman" w:hAnsi="Times New Roman" w:cs="Times New Roman"/>
          <w:sz w:val="24"/>
          <w:szCs w:val="24"/>
        </w:rPr>
        <w:t xml:space="preserve"> </w:t>
      </w:r>
      <w:proofErr w:type="spellStart"/>
      <w:r w:rsidR="0062229F" w:rsidRPr="00B14ED8">
        <w:rPr>
          <w:rFonts w:ascii="Times New Roman" w:eastAsia="Times New Roman" w:hAnsi="Times New Roman" w:cs="Times New Roman"/>
          <w:sz w:val="24"/>
          <w:szCs w:val="24"/>
        </w:rPr>
        <w:t>serta</w:t>
      </w:r>
      <w:proofErr w:type="spellEnd"/>
      <w:r w:rsidR="0062229F" w:rsidRPr="00B14ED8">
        <w:rPr>
          <w:rFonts w:ascii="Times New Roman" w:eastAsia="Times New Roman" w:hAnsi="Times New Roman" w:cs="Times New Roman"/>
          <w:sz w:val="24"/>
          <w:szCs w:val="24"/>
        </w:rPr>
        <w:t xml:space="preserve"> </w:t>
      </w:r>
      <w:proofErr w:type="spellStart"/>
      <w:r w:rsidR="0062229F" w:rsidRPr="00B14ED8">
        <w:rPr>
          <w:rFonts w:ascii="Times New Roman" w:eastAsia="Times New Roman" w:hAnsi="Times New Roman" w:cs="Times New Roman"/>
          <w:sz w:val="24"/>
          <w:szCs w:val="24"/>
        </w:rPr>
        <w:t>menjalankan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kegiatan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usaha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secara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aktif</w:t>
      </w:r>
      <w:proofErr w:type="spellEnd"/>
      <w:r w:rsidR="00992940" w:rsidRPr="00B14ED8">
        <w:rPr>
          <w:rFonts w:ascii="Times New Roman" w:eastAsia="Times New Roman" w:hAnsi="Times New Roman" w:cs="Times New Roman"/>
          <w:sz w:val="24"/>
          <w:szCs w:val="24"/>
        </w:rPr>
        <w:fldChar w:fldCharType="begin" w:fldLock="1"/>
      </w:r>
      <w:r w:rsidR="0039310B" w:rsidRPr="00B14ED8">
        <w:rPr>
          <w:rFonts w:ascii="Times New Roman" w:eastAsia="Times New Roman" w:hAnsi="Times New Roman" w:cs="Times New Roman"/>
          <w:sz w:val="24"/>
          <w:szCs w:val="24"/>
        </w:rPr>
        <w:instrText>ADDIN CSL_CITATION {"citationItems":[{"id":"ITEM-1","itemData":{"DOI":"10.1108/IJIF-04-2018-0041","ISSN":"22894365","abstract":"Purpose: This study aims to gain the perception of Selangor’s disadvantaged women on the Sharīʿah (Islamic law) rules on two micro-equity financing instruments, namely, muḍārabah (profit sharing) and mushārakah (profit-and-loss sharing) (M&amp;M). Design/methodology/approach: A survey was carried out in the rural area of Selangor district in Malaysia by administering a self-generated structured questionnaire. A total of 330 completed questionnaires were retrieved from the members of an Islamic microfinance institution (IsMFI), namely, Amanah Ikhtiar Malaysia (AIM). The data were analysed by using structural equation modelling. Findings: The female borrowers of AIM perceive the Sharīʿah rules of M&amp;M requiring high moral and ethical values and diligent repayment performance. They are aware of some other underlying provisions such as business liquidation, share transfer, information discloser and business termination. The overall findings of this study suggest that the perceived Sharīʿah rules are akin to those that are commonly used in general partnership businesses between Muslims. It also indicates that disadvantaged entrepreneurs would accept the rules that are easy to comprehend as well as favourable to their interests. It further suggests that respondents’ experiences of microfinance and business operation do not have a significant influence on their perception of M&amp;M instruments. Research limitations/implications: This study was limited to Selangor. So, the perception of Muslim women surveyed may not represent the views of all women in Malaysia. However, it can offer a primary understanding of the said issue. Practical implications: The findings of this study can help IsMIFs take initiatives to offer M&amp;M as micro-equity finance to poor women entrepreneurs. Originality/value: So far, limited studies have been carried out on M&amp;M-based microfinancing. This paper offers new insights presenting disadvantaged women entrepreneurs’ perception of these financing instruments.","author":[{"dropping-particle":"","family":"Islam","given":"Reazul","non-dropping-particle":"","parse-names":false,"suffix":""},{"dropping-particle":"","family":"Ahmad","given":"Rubi","non-dropping-particle":"","parse-names":false,"suffix":""}],"container-title":"ISRA International Journal of Islamic Finance","id":"ITEM-1","issue":"2","issued":{"date-parts":[["2020"]]},"page":"217-237","title":"Muḍārabah and mushārakah as micro-equity finance: perception of Selangor’s disadvantaged women entrepreneurs","type":"article-journal","volume":"12"},"uris":["http://www.mendeley.com/documents/?uuid=bc383b3c-ecba-48ce-9526-abfbd4e93869"]}],"mendeley":{"formattedCitation":"(Islam &amp; Ahmad, 2020)","plainTextFormattedCitation":"(Islam &amp; Ahmad, 2020)","previouslyFormattedCitation":"(Islam &amp; Ahmad, 2020)"},"properties":{"noteIndex":0},"schema":"https://github.com/citation-style-language/schema/raw/master/csl-citation.json"}</w:instrText>
      </w:r>
      <w:r w:rsidR="00992940" w:rsidRPr="00B14ED8">
        <w:rPr>
          <w:rFonts w:ascii="Times New Roman" w:eastAsia="Times New Roman" w:hAnsi="Times New Roman" w:cs="Times New Roman"/>
          <w:sz w:val="24"/>
          <w:szCs w:val="24"/>
        </w:rPr>
        <w:fldChar w:fldCharType="separate"/>
      </w:r>
      <w:r w:rsidR="00992940" w:rsidRPr="00B14ED8">
        <w:rPr>
          <w:rFonts w:ascii="Times New Roman" w:eastAsia="Times New Roman" w:hAnsi="Times New Roman" w:cs="Times New Roman"/>
          <w:noProof/>
          <w:sz w:val="24"/>
          <w:szCs w:val="24"/>
        </w:rPr>
        <w:t>(Islam &amp; Ahmad, 2020)</w:t>
      </w:r>
      <w:r w:rsidR="00992940" w:rsidRPr="00B14ED8">
        <w:rPr>
          <w:rFonts w:ascii="Times New Roman" w:eastAsia="Times New Roman" w:hAnsi="Times New Roman" w:cs="Times New Roman"/>
          <w:sz w:val="24"/>
          <w:szCs w:val="24"/>
        </w:rPr>
        <w:fldChar w:fldCharType="end"/>
      </w:r>
      <w:r w:rsidRPr="00B14ED8">
        <w:rPr>
          <w:rFonts w:ascii="Times New Roman" w:eastAsia="Times New Roman" w:hAnsi="Times New Roman" w:cs="Times New Roman"/>
          <w:sz w:val="24"/>
          <w:szCs w:val="24"/>
        </w:rPr>
        <w:t>.</w:t>
      </w:r>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Apabila</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dalam</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operasional</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usaha</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terbukti</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menghasilkan</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laba</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maka</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laba</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akan</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dibagi</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bersama</w:t>
      </w:r>
      <w:proofErr w:type="spellEnd"/>
      <w:r w:rsidR="006A5EE2" w:rsidRPr="00B14ED8">
        <w:rPr>
          <w:rFonts w:ascii="Times New Roman" w:eastAsia="Times New Roman" w:hAnsi="Times New Roman" w:cs="Times New Roman"/>
          <w:sz w:val="24"/>
          <w:szCs w:val="24"/>
        </w:rPr>
        <w:t xml:space="preserve"> – </w:t>
      </w:r>
      <w:proofErr w:type="spellStart"/>
      <w:r w:rsidR="006A5EE2" w:rsidRPr="00B14ED8">
        <w:rPr>
          <w:rFonts w:ascii="Times New Roman" w:eastAsia="Times New Roman" w:hAnsi="Times New Roman" w:cs="Times New Roman"/>
          <w:sz w:val="24"/>
          <w:szCs w:val="24"/>
        </w:rPr>
        <w:t>sama</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sesuai</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akad</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perjanjian</w:t>
      </w:r>
      <w:proofErr w:type="spellEnd"/>
      <w:r w:rsidR="006A5EE2" w:rsidRPr="00B14ED8">
        <w:rPr>
          <w:rFonts w:ascii="Times New Roman" w:eastAsia="Times New Roman" w:hAnsi="Times New Roman" w:cs="Times New Roman"/>
          <w:sz w:val="24"/>
          <w:szCs w:val="24"/>
        </w:rPr>
        <w:t xml:space="preserve"> yang </w:t>
      </w:r>
      <w:proofErr w:type="spellStart"/>
      <w:r w:rsidR="006A5EE2" w:rsidRPr="00B14ED8">
        <w:rPr>
          <w:rFonts w:ascii="Times New Roman" w:eastAsia="Times New Roman" w:hAnsi="Times New Roman" w:cs="Times New Roman"/>
          <w:sz w:val="24"/>
          <w:szCs w:val="24"/>
        </w:rPr>
        <w:t>ditetapkan</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Apabila</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ternyata</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menghasilkan</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kerugian</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maka</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kerugian</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ditanggung</w:t>
      </w:r>
      <w:proofErr w:type="spellEnd"/>
      <w:r w:rsidR="006A5EE2" w:rsidRPr="00B14ED8">
        <w:rPr>
          <w:rFonts w:ascii="Times New Roman" w:eastAsia="Times New Roman" w:hAnsi="Times New Roman" w:cs="Times New Roman"/>
          <w:sz w:val="24"/>
          <w:szCs w:val="24"/>
        </w:rPr>
        <w:t xml:space="preserve"> oleh </w:t>
      </w:r>
      <w:proofErr w:type="spellStart"/>
      <w:r w:rsidR="006A5EE2" w:rsidRPr="00B14ED8">
        <w:rPr>
          <w:rFonts w:ascii="Times New Roman" w:eastAsia="Times New Roman" w:hAnsi="Times New Roman" w:cs="Times New Roman"/>
          <w:sz w:val="24"/>
          <w:szCs w:val="24"/>
        </w:rPr>
        <w:t>kedua</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pihak</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sesuai</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kesepakatan</w:t>
      </w:r>
      <w:proofErr w:type="spellEnd"/>
      <w:r w:rsidR="006A5EE2" w:rsidRPr="00B14ED8">
        <w:rPr>
          <w:rFonts w:ascii="Times New Roman" w:eastAsia="Times New Roman" w:hAnsi="Times New Roman" w:cs="Times New Roman"/>
          <w:sz w:val="24"/>
          <w:szCs w:val="24"/>
        </w:rPr>
        <w:t xml:space="preserve"> </w:t>
      </w:r>
      <w:proofErr w:type="spellStart"/>
      <w:r w:rsidR="006A5EE2" w:rsidRPr="00B14ED8">
        <w:rPr>
          <w:rFonts w:ascii="Times New Roman" w:eastAsia="Times New Roman" w:hAnsi="Times New Roman" w:cs="Times New Roman"/>
          <w:sz w:val="24"/>
          <w:szCs w:val="24"/>
        </w:rPr>
        <w:t>sebelumnya</w:t>
      </w:r>
      <w:proofErr w:type="spellEnd"/>
      <w:r w:rsidR="002A3599" w:rsidRPr="00B14ED8">
        <w:rPr>
          <w:rFonts w:ascii="Times New Roman" w:eastAsia="Times New Roman" w:hAnsi="Times New Roman" w:cs="Times New Roman"/>
          <w:sz w:val="24"/>
          <w:szCs w:val="24"/>
        </w:rPr>
        <w:t xml:space="preserve">. </w:t>
      </w:r>
      <w:proofErr w:type="spellStart"/>
      <w:r w:rsidR="000456AB" w:rsidRPr="00B14ED8">
        <w:rPr>
          <w:rFonts w:ascii="Times New Roman" w:eastAsia="Times New Roman" w:hAnsi="Times New Roman" w:cs="Times New Roman"/>
          <w:sz w:val="24"/>
          <w:szCs w:val="24"/>
        </w:rPr>
        <w:t>Indikator</w:t>
      </w:r>
      <w:proofErr w:type="spellEnd"/>
      <w:r w:rsidR="000456AB" w:rsidRPr="00B14ED8">
        <w:rPr>
          <w:rFonts w:ascii="Times New Roman" w:eastAsia="Times New Roman" w:hAnsi="Times New Roman" w:cs="Times New Roman"/>
          <w:sz w:val="24"/>
          <w:szCs w:val="24"/>
        </w:rPr>
        <w:t xml:space="preserve"> </w:t>
      </w:r>
      <w:proofErr w:type="spellStart"/>
      <w:r w:rsidR="00546DFE" w:rsidRPr="00B14ED8">
        <w:rPr>
          <w:rFonts w:ascii="Times New Roman" w:eastAsia="Times New Roman" w:hAnsi="Times New Roman" w:cs="Times New Roman"/>
          <w:sz w:val="24"/>
          <w:szCs w:val="24"/>
        </w:rPr>
        <w:t>pembiayaan</w:t>
      </w:r>
      <w:proofErr w:type="spellEnd"/>
      <w:r w:rsidR="00546DFE" w:rsidRPr="00B14ED8">
        <w:rPr>
          <w:rFonts w:ascii="Times New Roman" w:eastAsia="Times New Roman" w:hAnsi="Times New Roman" w:cs="Times New Roman"/>
          <w:sz w:val="24"/>
          <w:szCs w:val="24"/>
        </w:rPr>
        <w:t xml:space="preserve"> </w:t>
      </w:r>
      <w:proofErr w:type="spellStart"/>
      <w:r w:rsidR="00546DFE" w:rsidRPr="00B14ED8">
        <w:rPr>
          <w:rFonts w:ascii="Times New Roman" w:eastAsia="Times New Roman" w:hAnsi="Times New Roman" w:cs="Times New Roman"/>
          <w:i/>
          <w:iCs/>
          <w:sz w:val="24"/>
          <w:szCs w:val="24"/>
        </w:rPr>
        <w:t>mudhara</w:t>
      </w:r>
      <w:r w:rsidR="007151E8" w:rsidRPr="00B14ED8">
        <w:rPr>
          <w:rFonts w:ascii="Times New Roman" w:eastAsia="Times New Roman" w:hAnsi="Times New Roman" w:cs="Times New Roman"/>
          <w:i/>
          <w:iCs/>
          <w:sz w:val="24"/>
          <w:szCs w:val="24"/>
        </w:rPr>
        <w:t>bah</w:t>
      </w:r>
      <w:proofErr w:type="spellEnd"/>
      <w:r w:rsidR="007151E8" w:rsidRPr="00B14ED8">
        <w:rPr>
          <w:rFonts w:ascii="Times New Roman" w:eastAsia="Times New Roman" w:hAnsi="Times New Roman" w:cs="Times New Roman"/>
          <w:i/>
          <w:iCs/>
          <w:sz w:val="24"/>
          <w:szCs w:val="24"/>
        </w:rPr>
        <w:t xml:space="preserve"> </w:t>
      </w:r>
      <w:r w:rsidR="007151E8" w:rsidRPr="00B14ED8">
        <w:rPr>
          <w:rFonts w:ascii="Times New Roman" w:eastAsia="Times New Roman" w:hAnsi="Times New Roman" w:cs="Times New Roman"/>
          <w:sz w:val="24"/>
          <w:szCs w:val="24"/>
        </w:rPr>
        <w:t xml:space="preserve">pada </w:t>
      </w:r>
      <w:proofErr w:type="spellStart"/>
      <w:r w:rsidR="007151E8" w:rsidRPr="00B14ED8">
        <w:rPr>
          <w:rFonts w:ascii="Times New Roman" w:eastAsia="Times New Roman" w:hAnsi="Times New Roman" w:cs="Times New Roman"/>
          <w:sz w:val="24"/>
          <w:szCs w:val="24"/>
        </w:rPr>
        <w:t>penelitian</w:t>
      </w:r>
      <w:proofErr w:type="spellEnd"/>
      <w:r w:rsidR="007151E8" w:rsidRPr="00B14ED8">
        <w:rPr>
          <w:rFonts w:ascii="Times New Roman" w:eastAsia="Times New Roman" w:hAnsi="Times New Roman" w:cs="Times New Roman"/>
          <w:sz w:val="24"/>
          <w:szCs w:val="24"/>
        </w:rPr>
        <w:t xml:space="preserve"> </w:t>
      </w:r>
      <w:proofErr w:type="spellStart"/>
      <w:r w:rsidR="007151E8" w:rsidRPr="00B14ED8">
        <w:rPr>
          <w:rFonts w:ascii="Times New Roman" w:eastAsia="Times New Roman" w:hAnsi="Times New Roman" w:cs="Times New Roman"/>
          <w:sz w:val="24"/>
          <w:szCs w:val="24"/>
        </w:rPr>
        <w:t>ini</w:t>
      </w:r>
      <w:proofErr w:type="spellEnd"/>
      <w:r w:rsidR="007151E8" w:rsidRPr="00B14ED8">
        <w:rPr>
          <w:rFonts w:ascii="Times New Roman" w:eastAsia="Times New Roman" w:hAnsi="Times New Roman" w:cs="Times New Roman"/>
          <w:sz w:val="24"/>
          <w:szCs w:val="24"/>
        </w:rPr>
        <w:t xml:space="preserve"> </w:t>
      </w:r>
      <w:proofErr w:type="spellStart"/>
      <w:r w:rsidR="002A5BAA" w:rsidRPr="00B14ED8">
        <w:rPr>
          <w:rFonts w:ascii="Times New Roman" w:eastAsia="Times New Roman" w:hAnsi="Times New Roman" w:cs="Times New Roman"/>
          <w:sz w:val="24"/>
          <w:szCs w:val="24"/>
        </w:rPr>
        <w:t>dihitung</w:t>
      </w:r>
      <w:proofErr w:type="spellEnd"/>
      <w:r w:rsidR="002A5BAA" w:rsidRPr="00B14ED8">
        <w:rPr>
          <w:rFonts w:ascii="Times New Roman" w:eastAsia="Times New Roman" w:hAnsi="Times New Roman" w:cs="Times New Roman"/>
          <w:sz w:val="24"/>
          <w:szCs w:val="24"/>
        </w:rPr>
        <w:t xml:space="preserve"> </w:t>
      </w:r>
      <w:proofErr w:type="spellStart"/>
      <w:r w:rsidR="002A5BAA" w:rsidRPr="00B14ED8">
        <w:rPr>
          <w:rFonts w:ascii="Times New Roman" w:eastAsia="Times New Roman" w:hAnsi="Times New Roman" w:cs="Times New Roman"/>
          <w:sz w:val="24"/>
          <w:szCs w:val="24"/>
        </w:rPr>
        <w:t>menggunakan</w:t>
      </w:r>
      <w:proofErr w:type="spellEnd"/>
      <w:r w:rsidR="002A5BAA" w:rsidRPr="00B14ED8">
        <w:rPr>
          <w:rFonts w:ascii="Times New Roman" w:eastAsia="Times New Roman" w:hAnsi="Times New Roman" w:cs="Times New Roman"/>
          <w:sz w:val="24"/>
          <w:szCs w:val="24"/>
        </w:rPr>
        <w:t xml:space="preserve"> </w:t>
      </w:r>
      <w:proofErr w:type="spellStart"/>
      <w:r w:rsidR="002A5BAA" w:rsidRPr="00B14ED8">
        <w:rPr>
          <w:rFonts w:ascii="Times New Roman" w:eastAsia="Times New Roman" w:hAnsi="Times New Roman" w:cs="Times New Roman"/>
          <w:sz w:val="24"/>
          <w:szCs w:val="24"/>
        </w:rPr>
        <w:t>nilai</w:t>
      </w:r>
      <w:proofErr w:type="spellEnd"/>
      <w:r w:rsidR="002A5BAA" w:rsidRPr="00B14ED8">
        <w:rPr>
          <w:rFonts w:ascii="Times New Roman" w:eastAsia="Times New Roman" w:hAnsi="Times New Roman" w:cs="Times New Roman"/>
          <w:sz w:val="24"/>
          <w:szCs w:val="24"/>
        </w:rPr>
        <w:t xml:space="preserve"> </w:t>
      </w:r>
      <w:proofErr w:type="spellStart"/>
      <w:r w:rsidR="002A5BAA" w:rsidRPr="00B14ED8">
        <w:rPr>
          <w:rFonts w:ascii="Times New Roman" w:eastAsia="Times New Roman" w:hAnsi="Times New Roman" w:cs="Times New Roman"/>
          <w:sz w:val="24"/>
          <w:szCs w:val="24"/>
        </w:rPr>
        <w:t>persentase</w:t>
      </w:r>
      <w:proofErr w:type="spellEnd"/>
      <w:r w:rsidR="002A5BAA" w:rsidRPr="00B14ED8">
        <w:rPr>
          <w:rFonts w:ascii="Times New Roman" w:eastAsia="Times New Roman" w:hAnsi="Times New Roman" w:cs="Times New Roman"/>
          <w:sz w:val="24"/>
          <w:szCs w:val="24"/>
        </w:rPr>
        <w:t xml:space="preserve"> </w:t>
      </w:r>
      <w:proofErr w:type="spellStart"/>
      <w:r w:rsidR="002A5BAA" w:rsidRPr="00B14ED8">
        <w:rPr>
          <w:rFonts w:ascii="Times New Roman" w:eastAsia="Times New Roman" w:hAnsi="Times New Roman" w:cs="Times New Roman"/>
          <w:sz w:val="24"/>
          <w:szCs w:val="24"/>
        </w:rPr>
        <w:t>pembiayaan</w:t>
      </w:r>
      <w:proofErr w:type="spellEnd"/>
      <w:r w:rsidR="002A5BAA" w:rsidRPr="00B14ED8">
        <w:rPr>
          <w:rFonts w:ascii="Times New Roman" w:eastAsia="Times New Roman" w:hAnsi="Times New Roman" w:cs="Times New Roman"/>
          <w:sz w:val="24"/>
          <w:szCs w:val="24"/>
        </w:rPr>
        <w:t xml:space="preserve"> </w:t>
      </w:r>
      <w:proofErr w:type="spellStart"/>
      <w:r w:rsidR="002A5BAA" w:rsidRPr="00B14ED8">
        <w:rPr>
          <w:rFonts w:ascii="Times New Roman" w:eastAsia="Times New Roman" w:hAnsi="Times New Roman" w:cs="Times New Roman"/>
          <w:i/>
          <w:iCs/>
          <w:sz w:val="24"/>
          <w:szCs w:val="24"/>
        </w:rPr>
        <w:t>mudharabah</w:t>
      </w:r>
      <w:proofErr w:type="spellEnd"/>
      <w:r w:rsidR="002A5BAA" w:rsidRPr="00B14ED8">
        <w:rPr>
          <w:rFonts w:ascii="Times New Roman" w:eastAsia="Times New Roman" w:hAnsi="Times New Roman" w:cs="Times New Roman"/>
          <w:i/>
          <w:iCs/>
          <w:sz w:val="24"/>
          <w:szCs w:val="24"/>
        </w:rPr>
        <w:t xml:space="preserve"> </w:t>
      </w:r>
      <w:proofErr w:type="spellStart"/>
      <w:r w:rsidR="00952531" w:rsidRPr="00B14ED8">
        <w:rPr>
          <w:rFonts w:ascii="Times New Roman" w:eastAsia="Times New Roman" w:hAnsi="Times New Roman" w:cs="Times New Roman"/>
          <w:sz w:val="24"/>
          <w:szCs w:val="24"/>
        </w:rPr>
        <w:t>sebagai</w:t>
      </w:r>
      <w:proofErr w:type="spellEnd"/>
      <w:r w:rsidR="00952531" w:rsidRPr="00B14ED8">
        <w:rPr>
          <w:rFonts w:ascii="Times New Roman" w:eastAsia="Times New Roman" w:hAnsi="Times New Roman" w:cs="Times New Roman"/>
          <w:sz w:val="24"/>
          <w:szCs w:val="24"/>
        </w:rPr>
        <w:t xml:space="preserve"> </w:t>
      </w:r>
      <w:proofErr w:type="spellStart"/>
      <w:r w:rsidR="00952531" w:rsidRPr="00B14ED8">
        <w:rPr>
          <w:rFonts w:ascii="Times New Roman" w:eastAsia="Times New Roman" w:hAnsi="Times New Roman" w:cs="Times New Roman"/>
          <w:sz w:val="24"/>
          <w:szCs w:val="24"/>
        </w:rPr>
        <w:t>berikut</w:t>
      </w:r>
      <w:proofErr w:type="spellEnd"/>
      <w:r w:rsidR="00952531" w:rsidRPr="00B14ED8">
        <w:rPr>
          <w:rFonts w:ascii="Times New Roman" w:eastAsia="Times New Roman" w:hAnsi="Times New Roman" w:cs="Times New Roman"/>
          <w:sz w:val="24"/>
          <w:szCs w:val="24"/>
        </w:rPr>
        <w:t>(</w:t>
      </w:r>
      <w:r w:rsidR="007151E8" w:rsidRPr="00B14ED8">
        <w:rPr>
          <w:rStyle w:val="fontstyle01"/>
          <w:rFonts w:ascii="Times New Roman" w:hAnsi="Times New Roman" w:cs="Times New Roman"/>
          <w:color w:val="000000" w:themeColor="text1"/>
          <w:sz w:val="24"/>
          <w:szCs w:val="24"/>
        </w:rPr>
        <w:fldChar w:fldCharType="begin" w:fldLock="1"/>
      </w:r>
      <w:r w:rsidR="00952531" w:rsidRPr="00B14ED8">
        <w:rPr>
          <w:rStyle w:val="fontstyle01"/>
          <w:rFonts w:ascii="Times New Roman" w:hAnsi="Times New Roman" w:cs="Times New Roman"/>
          <w:color w:val="000000" w:themeColor="text1"/>
          <w:sz w:val="24"/>
          <w:szCs w:val="24"/>
        </w:rPr>
        <w:instrText>ADDIN CSL_CITATION {"citationItems":[{"id":"ITEM-1","itemData":{"author":[{"dropping-particle":"","family":"Hakim","given":"Mohammad Zulman","non-dropping-particle":"","parse-names":false,"suffix":""},{"dropping-particle":"","family":"Nurdiono","given":"Vira Cesaria","non-dropping-particle":"","parse-names":false,"suffix":""},{"dropping-particle":"","family":"Aulia","given":"Triana Zuhrotun","non-dropping-particle":"","parse-names":false,"suffix":""},{"dropping-particle":"","family":"Sanatoso","given":"Sigit Budi","non-dropping-particle":"","parse-names":false,"suffix":""},{"dropping-particle":"","family":"Zakki","given":"Ahmad","non-dropping-particle":"","parse-names":false,"suffix":""},{"dropping-particle":"","family":"Hendrianto","given":"Samino","non-dropping-particle":"","parse-names":false,"suffix":""}],"container-title":"Internasional Journal of Economics, Business and Innovation Research","id":"ITEM-1","issue":"01","issued":{"date-parts":[["2023"]]},"page":"31-47","title":"Effect of Capital Adequency Ratio , Non Performing Financing , and BOPO on Mudharabah Financing","type":"article-journal","volume":"02"},"uris":["http://www.mendeley.com/documents/?uuid=9f1d7f20-2edf-4430-961d-64aaa030fbfb"]}],"mendeley":{"formattedCitation":"(Hakim et al., 2023)","manualFormatting":"Hakim et al., 2023)","plainTextFormattedCitation":"(Hakim et al., 2023)","previouslyFormattedCitation":"(Hakim et al., 2023)"},"properties":{"noteIndex":0},"schema":"https://github.com/citation-style-language/schema/raw/master/csl-citation.json"}</w:instrText>
      </w:r>
      <w:r w:rsidR="007151E8" w:rsidRPr="00B14ED8">
        <w:rPr>
          <w:rStyle w:val="fontstyle01"/>
          <w:rFonts w:ascii="Times New Roman" w:hAnsi="Times New Roman" w:cs="Times New Roman"/>
          <w:color w:val="000000" w:themeColor="text1"/>
          <w:sz w:val="24"/>
          <w:szCs w:val="24"/>
        </w:rPr>
        <w:fldChar w:fldCharType="separate"/>
      </w:r>
      <w:r w:rsidR="007151E8" w:rsidRPr="00B14ED8">
        <w:rPr>
          <w:rStyle w:val="fontstyle01"/>
          <w:rFonts w:ascii="Times New Roman" w:hAnsi="Times New Roman" w:cs="Times New Roman"/>
          <w:noProof/>
          <w:color w:val="000000" w:themeColor="text1"/>
          <w:sz w:val="24"/>
          <w:szCs w:val="24"/>
        </w:rPr>
        <w:t>Hakim et al</w:t>
      </w:r>
      <w:r w:rsidR="00952531" w:rsidRPr="00B14ED8">
        <w:rPr>
          <w:rStyle w:val="fontstyle01"/>
          <w:rFonts w:ascii="Times New Roman" w:hAnsi="Times New Roman" w:cs="Times New Roman"/>
          <w:noProof/>
          <w:color w:val="000000" w:themeColor="text1"/>
          <w:sz w:val="24"/>
          <w:szCs w:val="24"/>
        </w:rPr>
        <w:t xml:space="preserve">., </w:t>
      </w:r>
      <w:r w:rsidR="007151E8" w:rsidRPr="00B14ED8">
        <w:rPr>
          <w:rStyle w:val="fontstyle01"/>
          <w:rFonts w:ascii="Times New Roman" w:hAnsi="Times New Roman" w:cs="Times New Roman"/>
          <w:noProof/>
          <w:color w:val="000000" w:themeColor="text1"/>
          <w:sz w:val="24"/>
          <w:szCs w:val="24"/>
        </w:rPr>
        <w:t>2023)</w:t>
      </w:r>
      <w:r w:rsidR="007151E8" w:rsidRPr="00B14ED8">
        <w:rPr>
          <w:rStyle w:val="fontstyle01"/>
          <w:rFonts w:ascii="Times New Roman" w:hAnsi="Times New Roman" w:cs="Times New Roman"/>
          <w:color w:val="000000" w:themeColor="text1"/>
          <w:sz w:val="24"/>
          <w:szCs w:val="24"/>
        </w:rPr>
        <w:fldChar w:fldCharType="end"/>
      </w:r>
      <w:r w:rsidR="007151E8" w:rsidRPr="00B14ED8">
        <w:rPr>
          <w:rStyle w:val="fontstyle01"/>
          <w:rFonts w:ascii="Times New Roman" w:hAnsi="Times New Roman" w:cs="Times New Roman"/>
          <w:color w:val="000000" w:themeColor="text1"/>
          <w:sz w:val="24"/>
          <w:szCs w:val="24"/>
        </w:rPr>
        <w:t xml:space="preserve">: </w:t>
      </w:r>
    </w:p>
    <w:p w14:paraId="5C604479" w14:textId="683526EB" w:rsidR="0049577D" w:rsidRPr="00B14ED8" w:rsidRDefault="00FB2873" w:rsidP="00B14ED8">
      <w:pPr>
        <w:spacing w:after="0" w:line="360" w:lineRule="auto"/>
        <w:ind w:right="208"/>
        <w:jc w:val="both"/>
        <w:rPr>
          <w:rStyle w:val="fontstyle01"/>
          <w:rFonts w:ascii="Times New Roman" w:hAnsi="Times New Roman" w:cs="Times New Roman"/>
          <w:color w:val="000000" w:themeColor="text1"/>
          <w:sz w:val="24"/>
          <w:szCs w:val="24"/>
        </w:rPr>
      </w:pPr>
      <m:oMathPara>
        <m:oMath>
          <m:r>
            <w:rPr>
              <w:rStyle w:val="fontstyle01"/>
              <w:rFonts w:ascii="Cambria Math" w:hAnsi="Cambria Math" w:cs="Times New Roman"/>
              <w:color w:val="000000" w:themeColor="text1"/>
              <w:sz w:val="24"/>
              <w:szCs w:val="24"/>
            </w:rPr>
            <m:t>Persentase Pembiayaan Mudharabah=</m:t>
          </m:r>
          <m:f>
            <m:fPr>
              <m:ctrlPr>
                <w:rPr>
                  <w:rStyle w:val="fontstyle01"/>
                  <w:rFonts w:ascii="Cambria Math" w:hAnsi="Cambria Math" w:cs="Times New Roman"/>
                  <w:i/>
                  <w:color w:val="000000" w:themeColor="text1"/>
                  <w:sz w:val="24"/>
                  <w:szCs w:val="24"/>
                </w:rPr>
              </m:ctrlPr>
            </m:fPr>
            <m:num>
              <m:r>
                <w:rPr>
                  <w:rStyle w:val="fontstyle01"/>
                  <w:rFonts w:ascii="Cambria Math" w:hAnsi="Cambria Math" w:cs="Times New Roman"/>
                  <w:color w:val="000000" w:themeColor="text1"/>
                  <w:sz w:val="24"/>
                  <w:szCs w:val="24"/>
                </w:rPr>
                <m:t>Total Pembiayaan Mudharabah</m:t>
              </m:r>
            </m:num>
            <m:den>
              <m:r>
                <w:rPr>
                  <w:rStyle w:val="fontstyle01"/>
                  <w:rFonts w:ascii="Cambria Math" w:hAnsi="Cambria Math" w:cs="Times New Roman"/>
                  <w:color w:val="000000" w:themeColor="text1"/>
                  <w:sz w:val="24"/>
                  <w:szCs w:val="24"/>
                </w:rPr>
                <m:t>Total Pembiayaan Keseluruhan</m:t>
              </m:r>
            </m:den>
          </m:f>
          <m:r>
            <w:rPr>
              <w:rStyle w:val="fontstyle01"/>
              <w:rFonts w:ascii="Cambria Math" w:hAnsi="Cambria Math" w:cs="Times New Roman"/>
              <w:color w:val="000000" w:themeColor="text1"/>
              <w:sz w:val="24"/>
              <w:szCs w:val="24"/>
            </w:rPr>
            <m:t xml:space="preserve"> x 100 %</m:t>
          </m:r>
        </m:oMath>
      </m:oMathPara>
    </w:p>
    <w:p w14:paraId="63401BDF" w14:textId="2B61701D" w:rsidR="00142470" w:rsidRPr="00B14ED8" w:rsidRDefault="00142470" w:rsidP="00B14ED8">
      <w:pPr>
        <w:tabs>
          <w:tab w:val="left" w:pos="567"/>
        </w:tabs>
        <w:spacing w:after="0" w:line="360" w:lineRule="auto"/>
        <w:jc w:val="both"/>
        <w:rPr>
          <w:rFonts w:ascii="Times New Roman" w:eastAsia="Times New Roman" w:hAnsi="Times New Roman" w:cs="Times New Roman"/>
          <w:b/>
          <w:bCs/>
          <w:i/>
          <w:iCs/>
          <w:sz w:val="24"/>
          <w:szCs w:val="24"/>
        </w:rPr>
      </w:pPr>
      <w:proofErr w:type="spellStart"/>
      <w:r w:rsidRPr="00B14ED8">
        <w:rPr>
          <w:rFonts w:ascii="Times New Roman" w:eastAsia="Times New Roman" w:hAnsi="Times New Roman" w:cs="Times New Roman"/>
          <w:b/>
          <w:bCs/>
          <w:sz w:val="24"/>
          <w:szCs w:val="24"/>
        </w:rPr>
        <w:t>Pembiayaan</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i/>
          <w:iCs/>
          <w:sz w:val="24"/>
          <w:szCs w:val="24"/>
        </w:rPr>
        <w:t>Musyarakah</w:t>
      </w:r>
      <w:proofErr w:type="spellEnd"/>
    </w:p>
    <w:p w14:paraId="152BD967" w14:textId="39B26CC0" w:rsidR="004467E7" w:rsidRPr="00B14ED8" w:rsidRDefault="002F680C" w:rsidP="00B14ED8">
      <w:pPr>
        <w:tabs>
          <w:tab w:val="left" w:pos="567"/>
        </w:tabs>
        <w:spacing w:after="0" w:line="360" w:lineRule="auto"/>
        <w:ind w:firstLine="567"/>
        <w:jc w:val="both"/>
        <w:rPr>
          <w:rFonts w:ascii="Times New Roman" w:eastAsia="Times New Roman" w:hAnsi="Times New Roman" w:cs="Times New Roman"/>
          <w:sz w:val="24"/>
          <w:szCs w:val="24"/>
        </w:rPr>
      </w:pPr>
      <w:proofErr w:type="spellStart"/>
      <w:r w:rsidRPr="00B14ED8">
        <w:rPr>
          <w:rFonts w:ascii="Times New Roman" w:eastAsia="Times New Roman" w:hAnsi="Times New Roman" w:cs="Times New Roman"/>
          <w:sz w:val="24"/>
          <w:szCs w:val="24"/>
        </w:rPr>
        <w:t>Pembiayaan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i/>
          <w:iCs/>
          <w:sz w:val="24"/>
          <w:szCs w:val="24"/>
        </w:rPr>
        <w:t>musyarakah</w:t>
      </w:r>
      <w:proofErr w:type="spellEnd"/>
      <w:r w:rsidRPr="00B14ED8">
        <w:rPr>
          <w:rFonts w:ascii="Times New Roman" w:eastAsia="Times New Roman" w:hAnsi="Times New Roman" w:cs="Times New Roman"/>
          <w:i/>
          <w:iCs/>
          <w:sz w:val="24"/>
          <w:szCs w:val="24"/>
        </w:rPr>
        <w:t xml:space="preserve"> </w:t>
      </w:r>
      <w:proofErr w:type="spellStart"/>
      <w:r w:rsidR="004467E7" w:rsidRPr="00B14ED8">
        <w:rPr>
          <w:rFonts w:ascii="Times New Roman" w:eastAsia="Times New Roman" w:hAnsi="Times New Roman" w:cs="Times New Roman"/>
          <w:sz w:val="24"/>
          <w:szCs w:val="24"/>
        </w:rPr>
        <w:t>merupakan</w:t>
      </w:r>
      <w:proofErr w:type="spellEnd"/>
      <w:r w:rsidR="006F59E8" w:rsidRPr="00B14ED8">
        <w:rPr>
          <w:rFonts w:ascii="Times New Roman" w:eastAsia="Times New Roman" w:hAnsi="Times New Roman" w:cs="Times New Roman"/>
          <w:sz w:val="24"/>
          <w:szCs w:val="24"/>
        </w:rPr>
        <w:t xml:space="preserve"> </w:t>
      </w:r>
      <w:proofErr w:type="spellStart"/>
      <w:r w:rsidR="006F59E8" w:rsidRPr="00B14ED8">
        <w:rPr>
          <w:rFonts w:ascii="Times New Roman" w:eastAsia="Times New Roman" w:hAnsi="Times New Roman" w:cs="Times New Roman"/>
          <w:sz w:val="24"/>
          <w:szCs w:val="24"/>
        </w:rPr>
        <w:t>akad</w:t>
      </w:r>
      <w:proofErr w:type="spellEnd"/>
      <w:r w:rsidR="006F59E8" w:rsidRPr="00B14ED8">
        <w:rPr>
          <w:rFonts w:ascii="Times New Roman" w:eastAsia="Times New Roman" w:hAnsi="Times New Roman" w:cs="Times New Roman"/>
          <w:sz w:val="24"/>
          <w:szCs w:val="24"/>
        </w:rPr>
        <w:t xml:space="preserve"> </w:t>
      </w:r>
      <w:proofErr w:type="spellStart"/>
      <w:r w:rsidR="006F59E8" w:rsidRPr="00B14ED8">
        <w:rPr>
          <w:rFonts w:ascii="Times New Roman" w:eastAsia="Times New Roman" w:hAnsi="Times New Roman" w:cs="Times New Roman"/>
          <w:sz w:val="24"/>
          <w:szCs w:val="24"/>
        </w:rPr>
        <w:t>kerja</w:t>
      </w:r>
      <w:proofErr w:type="spellEnd"/>
      <w:r w:rsidR="006F59E8" w:rsidRPr="00B14ED8">
        <w:rPr>
          <w:rFonts w:ascii="Times New Roman" w:eastAsia="Times New Roman" w:hAnsi="Times New Roman" w:cs="Times New Roman"/>
          <w:sz w:val="24"/>
          <w:szCs w:val="24"/>
        </w:rPr>
        <w:t xml:space="preserve"> </w:t>
      </w:r>
      <w:proofErr w:type="spellStart"/>
      <w:r w:rsidR="006F59E8" w:rsidRPr="00B14ED8">
        <w:rPr>
          <w:rFonts w:ascii="Times New Roman" w:eastAsia="Times New Roman" w:hAnsi="Times New Roman" w:cs="Times New Roman"/>
          <w:sz w:val="24"/>
          <w:szCs w:val="24"/>
        </w:rPr>
        <w:t>sama</w:t>
      </w:r>
      <w:proofErr w:type="spellEnd"/>
      <w:r w:rsidR="006F59E8" w:rsidRPr="00B14ED8">
        <w:rPr>
          <w:rFonts w:ascii="Times New Roman" w:eastAsia="Times New Roman" w:hAnsi="Times New Roman" w:cs="Times New Roman"/>
          <w:sz w:val="24"/>
          <w:szCs w:val="24"/>
        </w:rPr>
        <w:t xml:space="preserve"> </w:t>
      </w:r>
      <w:proofErr w:type="spellStart"/>
      <w:r w:rsidR="006F59E8" w:rsidRPr="00B14ED8">
        <w:rPr>
          <w:rFonts w:ascii="Times New Roman" w:eastAsia="Times New Roman" w:hAnsi="Times New Roman" w:cs="Times New Roman"/>
          <w:sz w:val="24"/>
          <w:szCs w:val="24"/>
        </w:rPr>
        <w:t>dimana</w:t>
      </w:r>
      <w:proofErr w:type="spellEnd"/>
      <w:r w:rsidR="006F59E8" w:rsidRPr="00B14ED8">
        <w:rPr>
          <w:rFonts w:ascii="Times New Roman" w:eastAsia="Times New Roman" w:hAnsi="Times New Roman" w:cs="Times New Roman"/>
          <w:sz w:val="24"/>
          <w:szCs w:val="24"/>
        </w:rPr>
        <w:t xml:space="preserve"> </w:t>
      </w:r>
      <w:proofErr w:type="spellStart"/>
      <w:r w:rsidR="006F59E8" w:rsidRPr="00B14ED8">
        <w:rPr>
          <w:rFonts w:ascii="Times New Roman" w:eastAsia="Times New Roman" w:hAnsi="Times New Roman" w:cs="Times New Roman"/>
          <w:sz w:val="24"/>
          <w:szCs w:val="24"/>
        </w:rPr>
        <w:t>pihak</w:t>
      </w:r>
      <w:proofErr w:type="spellEnd"/>
      <w:r w:rsidR="006F59E8" w:rsidRPr="00B14ED8">
        <w:rPr>
          <w:rFonts w:ascii="Times New Roman" w:eastAsia="Times New Roman" w:hAnsi="Times New Roman" w:cs="Times New Roman"/>
          <w:sz w:val="24"/>
          <w:szCs w:val="24"/>
        </w:rPr>
        <w:t xml:space="preserve"> </w:t>
      </w:r>
      <w:proofErr w:type="spellStart"/>
      <w:r w:rsidR="006F59E8" w:rsidRPr="00B14ED8">
        <w:rPr>
          <w:rFonts w:ascii="Times New Roman" w:eastAsia="Times New Roman" w:hAnsi="Times New Roman" w:cs="Times New Roman"/>
          <w:sz w:val="24"/>
          <w:szCs w:val="24"/>
        </w:rPr>
        <w:t>lembaga</w:t>
      </w:r>
      <w:proofErr w:type="spellEnd"/>
      <w:r w:rsidR="006F59E8" w:rsidRPr="00B14ED8">
        <w:rPr>
          <w:rFonts w:ascii="Times New Roman" w:eastAsia="Times New Roman" w:hAnsi="Times New Roman" w:cs="Times New Roman"/>
          <w:sz w:val="24"/>
          <w:szCs w:val="24"/>
        </w:rPr>
        <w:t xml:space="preserve"> </w:t>
      </w:r>
      <w:proofErr w:type="spellStart"/>
      <w:r w:rsidR="006F59E8" w:rsidRPr="00B14ED8">
        <w:rPr>
          <w:rFonts w:ascii="Times New Roman" w:eastAsia="Times New Roman" w:hAnsi="Times New Roman" w:cs="Times New Roman"/>
          <w:sz w:val="24"/>
          <w:szCs w:val="24"/>
        </w:rPr>
        <w:t>perbankan</w:t>
      </w:r>
      <w:proofErr w:type="spellEnd"/>
      <w:r w:rsidR="006F59E8" w:rsidRPr="00B14ED8">
        <w:rPr>
          <w:rFonts w:ascii="Times New Roman" w:eastAsia="Times New Roman" w:hAnsi="Times New Roman" w:cs="Times New Roman"/>
          <w:sz w:val="24"/>
          <w:szCs w:val="24"/>
        </w:rPr>
        <w:t xml:space="preserve"> </w:t>
      </w:r>
      <w:proofErr w:type="spellStart"/>
      <w:r w:rsidR="006F59E8" w:rsidRPr="00B14ED8">
        <w:rPr>
          <w:rFonts w:ascii="Times New Roman" w:eastAsia="Times New Roman" w:hAnsi="Times New Roman" w:cs="Times New Roman"/>
          <w:sz w:val="24"/>
          <w:szCs w:val="24"/>
        </w:rPr>
        <w:t>syariah</w:t>
      </w:r>
      <w:proofErr w:type="spellEnd"/>
      <w:r w:rsidR="006F59E8" w:rsidRPr="00B14ED8">
        <w:rPr>
          <w:rFonts w:ascii="Times New Roman" w:eastAsia="Times New Roman" w:hAnsi="Times New Roman" w:cs="Times New Roman"/>
          <w:sz w:val="24"/>
          <w:szCs w:val="24"/>
        </w:rPr>
        <w:t xml:space="preserve"> </w:t>
      </w:r>
      <w:proofErr w:type="spellStart"/>
      <w:r w:rsidR="006F59E8" w:rsidRPr="00B14ED8">
        <w:rPr>
          <w:rFonts w:ascii="Times New Roman" w:eastAsia="Times New Roman" w:hAnsi="Times New Roman" w:cs="Times New Roman"/>
          <w:sz w:val="24"/>
          <w:szCs w:val="24"/>
        </w:rPr>
        <w:t>serta</w:t>
      </w:r>
      <w:proofErr w:type="spellEnd"/>
      <w:r w:rsidR="006F59E8" w:rsidRPr="00B14ED8">
        <w:rPr>
          <w:rFonts w:ascii="Times New Roman" w:eastAsia="Times New Roman" w:hAnsi="Times New Roman" w:cs="Times New Roman"/>
          <w:sz w:val="24"/>
          <w:szCs w:val="24"/>
        </w:rPr>
        <w:t xml:space="preserve"> </w:t>
      </w:r>
      <w:proofErr w:type="spellStart"/>
      <w:r w:rsidR="006F59E8" w:rsidRPr="00B14ED8">
        <w:rPr>
          <w:rFonts w:ascii="Times New Roman" w:eastAsia="Times New Roman" w:hAnsi="Times New Roman" w:cs="Times New Roman"/>
          <w:i/>
          <w:iCs/>
          <w:sz w:val="24"/>
          <w:szCs w:val="24"/>
        </w:rPr>
        <w:t>mudarib</w:t>
      </w:r>
      <w:proofErr w:type="spellEnd"/>
      <w:r w:rsidR="006F59E8" w:rsidRPr="00B14ED8">
        <w:rPr>
          <w:rFonts w:ascii="Times New Roman" w:eastAsia="Times New Roman" w:hAnsi="Times New Roman" w:cs="Times New Roman"/>
          <w:i/>
          <w:iCs/>
          <w:sz w:val="24"/>
          <w:szCs w:val="24"/>
        </w:rPr>
        <w:t xml:space="preserve"> </w:t>
      </w:r>
      <w:proofErr w:type="spellStart"/>
      <w:r w:rsidR="004467E7" w:rsidRPr="00B14ED8">
        <w:rPr>
          <w:rFonts w:ascii="Times New Roman" w:eastAsia="Times New Roman" w:hAnsi="Times New Roman" w:cs="Times New Roman"/>
          <w:sz w:val="24"/>
          <w:szCs w:val="24"/>
        </w:rPr>
        <w:t>menjadi</w:t>
      </w:r>
      <w:proofErr w:type="spellEnd"/>
      <w:r w:rsidR="004467E7"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mitra</w:t>
      </w:r>
      <w:proofErr w:type="spellEnd"/>
      <w:r w:rsidR="004467E7"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usaha</w:t>
      </w:r>
      <w:proofErr w:type="spellEnd"/>
      <w:r w:rsidR="004467E7"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dengan</w:t>
      </w:r>
      <w:proofErr w:type="spellEnd"/>
      <w:r w:rsidR="004467E7"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menyumbangkan</w:t>
      </w:r>
      <w:proofErr w:type="spellEnd"/>
      <w:r w:rsidR="004467E7" w:rsidRPr="00B14ED8">
        <w:rPr>
          <w:rFonts w:ascii="Times New Roman" w:eastAsia="Times New Roman" w:hAnsi="Times New Roman" w:cs="Times New Roman"/>
          <w:sz w:val="24"/>
          <w:szCs w:val="24"/>
        </w:rPr>
        <w:t xml:space="preserve"> modal dan </w:t>
      </w:r>
      <w:proofErr w:type="spellStart"/>
      <w:r w:rsidR="004467E7" w:rsidRPr="00B14ED8">
        <w:rPr>
          <w:rFonts w:ascii="Times New Roman" w:eastAsia="Times New Roman" w:hAnsi="Times New Roman" w:cs="Times New Roman"/>
          <w:sz w:val="24"/>
          <w:szCs w:val="24"/>
        </w:rPr>
        <w:t>usaha</w:t>
      </w:r>
      <w:proofErr w:type="spellEnd"/>
      <w:r w:rsidR="004467E7"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manajerial</w:t>
      </w:r>
      <w:proofErr w:type="spellEnd"/>
      <w:r w:rsidR="004467E7" w:rsidRPr="00B14ED8">
        <w:rPr>
          <w:rFonts w:ascii="Times New Roman" w:eastAsia="Times New Roman" w:hAnsi="Times New Roman" w:cs="Times New Roman"/>
          <w:sz w:val="24"/>
          <w:szCs w:val="24"/>
        </w:rPr>
        <w:t xml:space="preserve">. </w:t>
      </w:r>
      <w:proofErr w:type="spellStart"/>
      <w:r w:rsidR="00AD254B" w:rsidRPr="00B14ED8">
        <w:rPr>
          <w:rFonts w:ascii="Times New Roman" w:eastAsia="Times New Roman" w:hAnsi="Times New Roman" w:cs="Times New Roman"/>
          <w:sz w:val="24"/>
          <w:szCs w:val="24"/>
        </w:rPr>
        <w:t>Kedua</w:t>
      </w:r>
      <w:proofErr w:type="spellEnd"/>
      <w:r w:rsidR="00AD254B" w:rsidRPr="00B14ED8">
        <w:rPr>
          <w:rFonts w:ascii="Times New Roman" w:eastAsia="Times New Roman" w:hAnsi="Times New Roman" w:cs="Times New Roman"/>
          <w:sz w:val="24"/>
          <w:szCs w:val="24"/>
        </w:rPr>
        <w:t xml:space="preserve"> </w:t>
      </w:r>
      <w:proofErr w:type="spellStart"/>
      <w:r w:rsidR="00AD254B" w:rsidRPr="00B14ED8">
        <w:rPr>
          <w:rFonts w:ascii="Times New Roman" w:eastAsia="Times New Roman" w:hAnsi="Times New Roman" w:cs="Times New Roman"/>
          <w:sz w:val="24"/>
          <w:szCs w:val="24"/>
        </w:rPr>
        <w:t>pihak</w:t>
      </w:r>
      <w:proofErr w:type="spellEnd"/>
      <w:r w:rsidR="00AD254B"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saling</w:t>
      </w:r>
      <w:proofErr w:type="spellEnd"/>
      <w:r w:rsidR="004467E7"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berbagi</w:t>
      </w:r>
      <w:proofErr w:type="spellEnd"/>
      <w:r w:rsidR="004467E7"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hasil</w:t>
      </w:r>
      <w:proofErr w:type="spellEnd"/>
      <w:r w:rsidR="004467E7"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bisnis</w:t>
      </w:r>
      <w:proofErr w:type="spellEnd"/>
      <w:r w:rsidR="004467E7"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baik</w:t>
      </w:r>
      <w:proofErr w:type="spellEnd"/>
      <w:r w:rsidR="004467E7"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itu</w:t>
      </w:r>
      <w:proofErr w:type="spellEnd"/>
      <w:r w:rsidR="004467E7"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keuntungan</w:t>
      </w:r>
      <w:proofErr w:type="spellEnd"/>
      <w:r w:rsidR="004467E7"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maupun</w:t>
      </w:r>
      <w:proofErr w:type="spellEnd"/>
      <w:r w:rsidR="004467E7"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kerugia</w:t>
      </w:r>
      <w:r w:rsidR="00396918" w:rsidRPr="00B14ED8">
        <w:rPr>
          <w:rFonts w:ascii="Times New Roman" w:eastAsia="Times New Roman" w:hAnsi="Times New Roman" w:cs="Times New Roman"/>
          <w:sz w:val="24"/>
          <w:szCs w:val="24"/>
        </w:rPr>
        <w:t>n</w:t>
      </w:r>
      <w:proofErr w:type="spellEnd"/>
      <w:r w:rsidR="004467E7"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Dalam</w:t>
      </w:r>
      <w:proofErr w:type="spellEnd"/>
      <w:r w:rsidR="004467E7"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kedua</w:t>
      </w:r>
      <w:proofErr w:type="spellEnd"/>
      <w:r w:rsidR="004467E7"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perjanjian</w:t>
      </w:r>
      <w:proofErr w:type="spellEnd"/>
      <w:r w:rsidR="004467E7"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kemitraan</w:t>
      </w:r>
      <w:proofErr w:type="spellEnd"/>
      <w:r w:rsidR="004467E7"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ini</w:t>
      </w:r>
      <w:proofErr w:type="spellEnd"/>
      <w:r w:rsidR="004467E7" w:rsidRPr="00B14ED8">
        <w:rPr>
          <w:rFonts w:ascii="Times New Roman" w:eastAsia="Times New Roman" w:hAnsi="Times New Roman" w:cs="Times New Roman"/>
          <w:sz w:val="24"/>
          <w:szCs w:val="24"/>
        </w:rPr>
        <w:t xml:space="preserve">, </w:t>
      </w:r>
      <w:proofErr w:type="spellStart"/>
      <w:r w:rsidR="00045F5D" w:rsidRPr="00B14ED8">
        <w:rPr>
          <w:rFonts w:ascii="Times New Roman" w:eastAsia="Times New Roman" w:hAnsi="Times New Roman" w:cs="Times New Roman"/>
          <w:sz w:val="24"/>
          <w:szCs w:val="24"/>
        </w:rPr>
        <w:t>nasabah</w:t>
      </w:r>
      <w:proofErr w:type="spellEnd"/>
      <w:r w:rsidR="00045F5D" w:rsidRPr="00B14ED8">
        <w:rPr>
          <w:rFonts w:ascii="Times New Roman" w:eastAsia="Times New Roman" w:hAnsi="Times New Roman" w:cs="Times New Roman"/>
          <w:sz w:val="24"/>
          <w:szCs w:val="24"/>
        </w:rPr>
        <w:t xml:space="preserve"> </w:t>
      </w:r>
      <w:proofErr w:type="spellStart"/>
      <w:r w:rsidR="00045F5D" w:rsidRPr="00B14ED8">
        <w:rPr>
          <w:rFonts w:ascii="Times New Roman" w:eastAsia="Times New Roman" w:hAnsi="Times New Roman" w:cs="Times New Roman"/>
          <w:sz w:val="24"/>
          <w:szCs w:val="24"/>
        </w:rPr>
        <w:t>berperan</w:t>
      </w:r>
      <w:proofErr w:type="spellEnd"/>
      <w:r w:rsidR="00045F5D" w:rsidRPr="00B14ED8">
        <w:rPr>
          <w:rFonts w:ascii="Times New Roman" w:eastAsia="Times New Roman" w:hAnsi="Times New Roman" w:cs="Times New Roman"/>
          <w:sz w:val="24"/>
          <w:szCs w:val="24"/>
        </w:rPr>
        <w:t xml:space="preserve"> </w:t>
      </w:r>
      <w:proofErr w:type="spellStart"/>
      <w:r w:rsidR="00045F5D" w:rsidRPr="00B14ED8">
        <w:rPr>
          <w:rFonts w:ascii="Times New Roman" w:eastAsia="Times New Roman" w:hAnsi="Times New Roman" w:cs="Times New Roman"/>
          <w:sz w:val="24"/>
          <w:szCs w:val="24"/>
        </w:rPr>
        <w:t>sebagai</w:t>
      </w:r>
      <w:proofErr w:type="spellEnd"/>
      <w:r w:rsidR="00045F5D" w:rsidRPr="00B14ED8">
        <w:rPr>
          <w:rFonts w:ascii="Times New Roman" w:eastAsia="Times New Roman" w:hAnsi="Times New Roman" w:cs="Times New Roman"/>
          <w:sz w:val="24"/>
          <w:szCs w:val="24"/>
        </w:rPr>
        <w:t xml:space="preserve"> </w:t>
      </w:r>
      <w:proofErr w:type="spellStart"/>
      <w:r w:rsidR="00045F5D" w:rsidRPr="00B14ED8">
        <w:rPr>
          <w:rFonts w:ascii="Times New Roman" w:eastAsia="Times New Roman" w:hAnsi="Times New Roman" w:cs="Times New Roman"/>
          <w:sz w:val="24"/>
          <w:szCs w:val="24"/>
        </w:rPr>
        <w:t>penanggung</w:t>
      </w:r>
      <w:proofErr w:type="spellEnd"/>
      <w:r w:rsidR="004467E7"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jawab</w:t>
      </w:r>
      <w:proofErr w:type="spellEnd"/>
      <w:r w:rsidR="004467E7"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utama</w:t>
      </w:r>
      <w:proofErr w:type="spellEnd"/>
      <w:r w:rsidR="004467E7"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untuk</w:t>
      </w:r>
      <w:proofErr w:type="spellEnd"/>
      <w:r w:rsidR="004467E7"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mengelola</w:t>
      </w:r>
      <w:proofErr w:type="spellEnd"/>
      <w:r w:rsidR="004467E7" w:rsidRPr="00B14ED8">
        <w:rPr>
          <w:rFonts w:ascii="Times New Roman" w:eastAsia="Times New Roman" w:hAnsi="Times New Roman" w:cs="Times New Roman"/>
          <w:sz w:val="24"/>
          <w:szCs w:val="24"/>
        </w:rPr>
        <w:t xml:space="preserve"> </w:t>
      </w:r>
      <w:proofErr w:type="spellStart"/>
      <w:r w:rsidR="004467E7" w:rsidRPr="00B14ED8">
        <w:rPr>
          <w:rFonts w:ascii="Times New Roman" w:eastAsia="Times New Roman" w:hAnsi="Times New Roman" w:cs="Times New Roman"/>
          <w:sz w:val="24"/>
          <w:szCs w:val="24"/>
        </w:rPr>
        <w:t>bisnis</w:t>
      </w:r>
      <w:proofErr w:type="spellEnd"/>
      <w:r w:rsidR="00FF7897" w:rsidRPr="00B14ED8">
        <w:rPr>
          <w:rFonts w:ascii="Times New Roman" w:eastAsia="Times New Roman" w:hAnsi="Times New Roman" w:cs="Times New Roman"/>
          <w:sz w:val="24"/>
          <w:szCs w:val="24"/>
        </w:rPr>
        <w:fldChar w:fldCharType="begin" w:fldLock="1"/>
      </w:r>
      <w:r w:rsidR="0039310B" w:rsidRPr="00B14ED8">
        <w:rPr>
          <w:rFonts w:ascii="Times New Roman" w:eastAsia="Times New Roman" w:hAnsi="Times New Roman" w:cs="Times New Roman"/>
          <w:sz w:val="24"/>
          <w:szCs w:val="24"/>
        </w:rPr>
        <w:instrText>ADDIN CSL_CITATION {"citationItems":[{"id":"ITEM-1","itemData":{"DOI":"10.1108/IJIF-04-2018-0041","ISSN":"22894365","abstract":"Purpose: This study aims to gain the perception of Selangor’s disadvantaged women on the Sharīʿah (Islamic law) rules on two micro-equity financing instruments, namely, muḍārabah (profit sharing) and mushārakah (profit-and-loss sharing) (M&amp;M). Design/methodology/approach: A survey was carried out in the rural area of Selangor district in Malaysia by administering a self-generated structured questionnaire. A total of 330 completed questionnaires were retrieved from the members of an Islamic microfinance institution (IsMFI), namely, Amanah Ikhtiar Malaysia (AIM). The data were analysed by using structural equation modelling. Findings: The female borrowers of AIM perceive the Sharīʿah rules of M&amp;M requiring high moral and ethical values and diligent repayment performance. They are aware of some other underlying provisions such as business liquidation, share transfer, information discloser and business termination. The overall findings of this study suggest that the perceived Sharīʿah rules are akin to those that are commonly used in general partnership businesses between Muslims. It also indicates that disadvantaged entrepreneurs would accept the rules that are easy to comprehend as well as favourable to their interests. It further suggests that respondents’ experiences of microfinance and business operation do not have a significant influence on their perception of M&amp;M instruments. Research limitations/implications: This study was limited to Selangor. So, the perception of Muslim women surveyed may not represent the views of all women in Malaysia. However, it can offer a primary understanding of the said issue. Practical implications: The findings of this study can help IsMIFs take initiatives to offer M&amp;M as micro-equity finance to poor women entrepreneurs. Originality/value: So far, limited studies have been carried out on M&amp;M-based microfinancing. This paper offers new insights presenting disadvantaged women entrepreneurs’ perception of these financing instruments.","author":[{"dropping-particle":"","family":"Islam","given":"Reazul","non-dropping-particle":"","parse-names":false,"suffix":""},{"dropping-particle":"","family":"Ahmad","given":"Rubi","non-dropping-particle":"","parse-names":false,"suffix":""}],"container-title":"ISRA International Journal of Islamic Finance","id":"ITEM-1","issue":"2","issued":{"date-parts":[["2020"]]},"page":"217-237","title":"Muḍārabah and mushārakah as micro-equity finance: perception of Selangor’s disadvantaged women entrepreneurs","type":"article-journal","volume":"12"},"uris":["http://www.mendeley.com/documents/?uuid=bc383b3c-ecba-48ce-9526-abfbd4e93869"]}],"mendeley":{"formattedCitation":"(Islam &amp; Ahmad, 2020)","plainTextFormattedCitation":"(Islam &amp; Ahmad, 2020)","previouslyFormattedCitation":"(Islam &amp; Ahmad, 2020)"},"properties":{"noteIndex":0},"schema":"https://github.com/citation-style-language/schema/raw/master/csl-citation.json"}</w:instrText>
      </w:r>
      <w:r w:rsidR="00FF7897" w:rsidRPr="00B14ED8">
        <w:rPr>
          <w:rFonts w:ascii="Times New Roman" w:eastAsia="Times New Roman" w:hAnsi="Times New Roman" w:cs="Times New Roman"/>
          <w:sz w:val="24"/>
          <w:szCs w:val="24"/>
        </w:rPr>
        <w:fldChar w:fldCharType="separate"/>
      </w:r>
      <w:r w:rsidR="00FF7897" w:rsidRPr="00B14ED8">
        <w:rPr>
          <w:rFonts w:ascii="Times New Roman" w:eastAsia="Times New Roman" w:hAnsi="Times New Roman" w:cs="Times New Roman"/>
          <w:noProof/>
          <w:sz w:val="24"/>
          <w:szCs w:val="24"/>
        </w:rPr>
        <w:t>(Islam &amp; Ahmad, 2020)</w:t>
      </w:r>
      <w:r w:rsidR="00FF7897" w:rsidRPr="00B14ED8">
        <w:rPr>
          <w:rFonts w:ascii="Times New Roman" w:eastAsia="Times New Roman" w:hAnsi="Times New Roman" w:cs="Times New Roman"/>
          <w:sz w:val="24"/>
          <w:szCs w:val="24"/>
        </w:rPr>
        <w:fldChar w:fldCharType="end"/>
      </w:r>
      <w:r w:rsidR="0087682C" w:rsidRPr="00B14ED8">
        <w:rPr>
          <w:rFonts w:ascii="Times New Roman" w:eastAsia="Times New Roman" w:hAnsi="Times New Roman" w:cs="Times New Roman"/>
          <w:sz w:val="24"/>
          <w:szCs w:val="24"/>
        </w:rPr>
        <w:t>.</w:t>
      </w:r>
      <w:r w:rsidR="00A55B0E" w:rsidRPr="00B14ED8">
        <w:rPr>
          <w:rFonts w:ascii="Times New Roman" w:eastAsia="Times New Roman" w:hAnsi="Times New Roman" w:cs="Times New Roman"/>
          <w:sz w:val="24"/>
          <w:szCs w:val="24"/>
        </w:rPr>
        <w:t xml:space="preserve"> </w:t>
      </w:r>
      <w:proofErr w:type="spellStart"/>
      <w:r w:rsidR="00A55B0E" w:rsidRPr="00B14ED8">
        <w:rPr>
          <w:rFonts w:ascii="Times New Roman" w:eastAsia="Times New Roman" w:hAnsi="Times New Roman" w:cs="Times New Roman"/>
          <w:sz w:val="24"/>
          <w:szCs w:val="24"/>
        </w:rPr>
        <w:t>Akad</w:t>
      </w:r>
      <w:proofErr w:type="spellEnd"/>
      <w:r w:rsidR="00A55B0E" w:rsidRPr="00B14ED8">
        <w:rPr>
          <w:rFonts w:ascii="Times New Roman" w:eastAsia="Times New Roman" w:hAnsi="Times New Roman" w:cs="Times New Roman"/>
          <w:sz w:val="24"/>
          <w:szCs w:val="24"/>
        </w:rPr>
        <w:t xml:space="preserve"> </w:t>
      </w:r>
      <w:proofErr w:type="spellStart"/>
      <w:r w:rsidR="00A55B0E" w:rsidRPr="00B14ED8">
        <w:rPr>
          <w:rFonts w:ascii="Times New Roman" w:eastAsia="Times New Roman" w:hAnsi="Times New Roman" w:cs="Times New Roman"/>
          <w:i/>
          <w:iCs/>
          <w:sz w:val="24"/>
          <w:szCs w:val="24"/>
        </w:rPr>
        <w:t>musyarakah</w:t>
      </w:r>
      <w:proofErr w:type="spellEnd"/>
      <w:r w:rsidR="00676070" w:rsidRPr="00B14ED8">
        <w:rPr>
          <w:rFonts w:ascii="Times New Roman" w:eastAsia="Times New Roman" w:hAnsi="Times New Roman" w:cs="Times New Roman"/>
          <w:sz w:val="24"/>
          <w:szCs w:val="24"/>
        </w:rPr>
        <w:t xml:space="preserve"> </w:t>
      </w:r>
      <w:proofErr w:type="spellStart"/>
      <w:r w:rsidR="00676070" w:rsidRPr="00B14ED8">
        <w:rPr>
          <w:rFonts w:ascii="Times New Roman" w:eastAsia="Times New Roman" w:hAnsi="Times New Roman" w:cs="Times New Roman"/>
          <w:sz w:val="24"/>
          <w:szCs w:val="24"/>
        </w:rPr>
        <w:t>memerlukan</w:t>
      </w:r>
      <w:proofErr w:type="spellEnd"/>
      <w:r w:rsidR="00676070" w:rsidRPr="00B14ED8">
        <w:rPr>
          <w:rFonts w:ascii="Times New Roman" w:eastAsia="Times New Roman" w:hAnsi="Times New Roman" w:cs="Times New Roman"/>
          <w:sz w:val="24"/>
          <w:szCs w:val="24"/>
        </w:rPr>
        <w:t xml:space="preserve"> </w:t>
      </w:r>
      <w:proofErr w:type="spellStart"/>
      <w:r w:rsidR="00676070" w:rsidRPr="00B14ED8">
        <w:rPr>
          <w:rFonts w:ascii="Times New Roman" w:eastAsia="Times New Roman" w:hAnsi="Times New Roman" w:cs="Times New Roman"/>
          <w:sz w:val="24"/>
          <w:szCs w:val="24"/>
        </w:rPr>
        <w:t>partisipasi</w:t>
      </w:r>
      <w:proofErr w:type="spellEnd"/>
      <w:r w:rsidR="00676070" w:rsidRPr="00B14ED8">
        <w:rPr>
          <w:rFonts w:ascii="Times New Roman" w:eastAsia="Times New Roman" w:hAnsi="Times New Roman" w:cs="Times New Roman"/>
          <w:sz w:val="24"/>
          <w:szCs w:val="24"/>
        </w:rPr>
        <w:t xml:space="preserve"> modal</w:t>
      </w:r>
      <w:r w:rsidR="00BA681A" w:rsidRPr="00B14ED8">
        <w:rPr>
          <w:rFonts w:ascii="Times New Roman" w:eastAsia="Times New Roman" w:hAnsi="Times New Roman" w:cs="Times New Roman"/>
          <w:sz w:val="24"/>
          <w:szCs w:val="24"/>
        </w:rPr>
        <w:t xml:space="preserve"> </w:t>
      </w:r>
      <w:proofErr w:type="spellStart"/>
      <w:r w:rsidR="00BA681A" w:rsidRPr="00B14ED8">
        <w:rPr>
          <w:rFonts w:ascii="Times New Roman" w:eastAsia="Times New Roman" w:hAnsi="Times New Roman" w:cs="Times New Roman"/>
          <w:sz w:val="24"/>
          <w:szCs w:val="24"/>
        </w:rPr>
        <w:t>sehingga</w:t>
      </w:r>
      <w:proofErr w:type="spellEnd"/>
      <w:r w:rsidR="00BA681A" w:rsidRPr="00B14ED8">
        <w:rPr>
          <w:rFonts w:ascii="Times New Roman" w:eastAsia="Times New Roman" w:hAnsi="Times New Roman" w:cs="Times New Roman"/>
          <w:sz w:val="24"/>
          <w:szCs w:val="24"/>
        </w:rPr>
        <w:t xml:space="preserve"> </w:t>
      </w:r>
      <w:proofErr w:type="spellStart"/>
      <w:r w:rsidR="00676070" w:rsidRPr="00B14ED8">
        <w:rPr>
          <w:rFonts w:ascii="Times New Roman" w:eastAsia="Times New Roman" w:hAnsi="Times New Roman" w:cs="Times New Roman"/>
          <w:sz w:val="24"/>
          <w:szCs w:val="24"/>
        </w:rPr>
        <w:t>penting</w:t>
      </w:r>
      <w:proofErr w:type="spellEnd"/>
      <w:r w:rsidR="00676070" w:rsidRPr="00B14ED8">
        <w:rPr>
          <w:rFonts w:ascii="Times New Roman" w:eastAsia="Times New Roman" w:hAnsi="Times New Roman" w:cs="Times New Roman"/>
          <w:sz w:val="24"/>
          <w:szCs w:val="24"/>
        </w:rPr>
        <w:t xml:space="preserve"> </w:t>
      </w:r>
      <w:proofErr w:type="spellStart"/>
      <w:r w:rsidR="00676070" w:rsidRPr="00B14ED8">
        <w:rPr>
          <w:rFonts w:ascii="Times New Roman" w:eastAsia="Times New Roman" w:hAnsi="Times New Roman" w:cs="Times New Roman"/>
          <w:sz w:val="24"/>
          <w:szCs w:val="24"/>
        </w:rPr>
        <w:t>untuk</w:t>
      </w:r>
      <w:proofErr w:type="spellEnd"/>
      <w:r w:rsidR="00676070" w:rsidRPr="00B14ED8">
        <w:rPr>
          <w:rFonts w:ascii="Times New Roman" w:eastAsia="Times New Roman" w:hAnsi="Times New Roman" w:cs="Times New Roman"/>
          <w:sz w:val="24"/>
          <w:szCs w:val="24"/>
        </w:rPr>
        <w:t xml:space="preserve"> </w:t>
      </w:r>
      <w:proofErr w:type="spellStart"/>
      <w:r w:rsidR="00676070" w:rsidRPr="00B14ED8">
        <w:rPr>
          <w:rFonts w:ascii="Times New Roman" w:eastAsia="Times New Roman" w:hAnsi="Times New Roman" w:cs="Times New Roman"/>
          <w:sz w:val="24"/>
          <w:szCs w:val="24"/>
        </w:rPr>
        <w:t>mempertimbangkan</w:t>
      </w:r>
      <w:proofErr w:type="spellEnd"/>
      <w:r w:rsidR="00676070" w:rsidRPr="00B14ED8">
        <w:rPr>
          <w:rFonts w:ascii="Times New Roman" w:eastAsia="Times New Roman" w:hAnsi="Times New Roman" w:cs="Times New Roman"/>
          <w:sz w:val="24"/>
          <w:szCs w:val="24"/>
        </w:rPr>
        <w:t xml:space="preserve"> </w:t>
      </w:r>
      <w:proofErr w:type="spellStart"/>
      <w:r w:rsidR="00676070" w:rsidRPr="00B14ED8">
        <w:rPr>
          <w:rFonts w:ascii="Times New Roman" w:eastAsia="Times New Roman" w:hAnsi="Times New Roman" w:cs="Times New Roman"/>
          <w:sz w:val="24"/>
          <w:szCs w:val="24"/>
        </w:rPr>
        <w:t>jumlah</w:t>
      </w:r>
      <w:proofErr w:type="spellEnd"/>
      <w:r w:rsidR="00676070" w:rsidRPr="00B14ED8">
        <w:rPr>
          <w:rFonts w:ascii="Times New Roman" w:eastAsia="Times New Roman" w:hAnsi="Times New Roman" w:cs="Times New Roman"/>
          <w:sz w:val="24"/>
          <w:szCs w:val="24"/>
        </w:rPr>
        <w:t xml:space="preserve"> modal </w:t>
      </w:r>
      <w:proofErr w:type="spellStart"/>
      <w:r w:rsidR="00676070" w:rsidRPr="00B14ED8">
        <w:rPr>
          <w:rFonts w:ascii="Times New Roman" w:eastAsia="Times New Roman" w:hAnsi="Times New Roman" w:cs="Times New Roman"/>
          <w:sz w:val="24"/>
          <w:szCs w:val="24"/>
        </w:rPr>
        <w:t>bisnis</w:t>
      </w:r>
      <w:proofErr w:type="spellEnd"/>
      <w:r w:rsidR="00676070" w:rsidRPr="00B14ED8">
        <w:rPr>
          <w:rFonts w:ascii="Times New Roman" w:eastAsia="Times New Roman" w:hAnsi="Times New Roman" w:cs="Times New Roman"/>
          <w:sz w:val="24"/>
          <w:szCs w:val="24"/>
        </w:rPr>
        <w:t xml:space="preserve"> yang </w:t>
      </w:r>
      <w:proofErr w:type="spellStart"/>
      <w:r w:rsidR="00676070" w:rsidRPr="00B14ED8">
        <w:rPr>
          <w:rFonts w:ascii="Times New Roman" w:eastAsia="Times New Roman" w:hAnsi="Times New Roman" w:cs="Times New Roman"/>
          <w:sz w:val="24"/>
          <w:szCs w:val="24"/>
        </w:rPr>
        <w:t>diajukan</w:t>
      </w:r>
      <w:proofErr w:type="spellEnd"/>
      <w:r w:rsidR="00676070" w:rsidRPr="00B14ED8">
        <w:rPr>
          <w:rFonts w:ascii="Times New Roman" w:eastAsia="Times New Roman" w:hAnsi="Times New Roman" w:cs="Times New Roman"/>
          <w:sz w:val="24"/>
          <w:szCs w:val="24"/>
        </w:rPr>
        <w:t xml:space="preserve"> </w:t>
      </w:r>
      <w:proofErr w:type="spellStart"/>
      <w:r w:rsidR="00420F74" w:rsidRPr="00B14ED8">
        <w:rPr>
          <w:rFonts w:ascii="Times New Roman" w:eastAsia="Times New Roman" w:hAnsi="Times New Roman" w:cs="Times New Roman"/>
          <w:sz w:val="24"/>
          <w:szCs w:val="24"/>
        </w:rPr>
        <w:t>serta</w:t>
      </w:r>
      <w:proofErr w:type="spellEnd"/>
      <w:r w:rsidR="00676070" w:rsidRPr="00B14ED8">
        <w:rPr>
          <w:rFonts w:ascii="Times New Roman" w:eastAsia="Times New Roman" w:hAnsi="Times New Roman" w:cs="Times New Roman"/>
          <w:sz w:val="24"/>
          <w:szCs w:val="24"/>
        </w:rPr>
        <w:t xml:space="preserve"> </w:t>
      </w:r>
      <w:proofErr w:type="spellStart"/>
      <w:r w:rsidR="00676070" w:rsidRPr="00B14ED8">
        <w:rPr>
          <w:rFonts w:ascii="Times New Roman" w:eastAsia="Times New Roman" w:hAnsi="Times New Roman" w:cs="Times New Roman"/>
          <w:sz w:val="24"/>
          <w:szCs w:val="24"/>
        </w:rPr>
        <w:t>menentukan</w:t>
      </w:r>
      <w:proofErr w:type="spellEnd"/>
      <w:r w:rsidR="00676070" w:rsidRPr="00B14ED8">
        <w:rPr>
          <w:rFonts w:ascii="Times New Roman" w:eastAsia="Times New Roman" w:hAnsi="Times New Roman" w:cs="Times New Roman"/>
          <w:sz w:val="24"/>
          <w:szCs w:val="24"/>
        </w:rPr>
        <w:t xml:space="preserve"> </w:t>
      </w:r>
      <w:proofErr w:type="spellStart"/>
      <w:r w:rsidR="00676070" w:rsidRPr="00B14ED8">
        <w:rPr>
          <w:rFonts w:ascii="Times New Roman" w:eastAsia="Times New Roman" w:hAnsi="Times New Roman" w:cs="Times New Roman"/>
          <w:sz w:val="24"/>
          <w:szCs w:val="24"/>
        </w:rPr>
        <w:t>rasio</w:t>
      </w:r>
      <w:proofErr w:type="spellEnd"/>
      <w:r w:rsidR="00676070" w:rsidRPr="00B14ED8">
        <w:rPr>
          <w:rFonts w:ascii="Times New Roman" w:eastAsia="Times New Roman" w:hAnsi="Times New Roman" w:cs="Times New Roman"/>
          <w:sz w:val="24"/>
          <w:szCs w:val="24"/>
        </w:rPr>
        <w:t xml:space="preserve"> </w:t>
      </w:r>
      <w:proofErr w:type="spellStart"/>
      <w:r w:rsidR="00676070" w:rsidRPr="00B14ED8">
        <w:rPr>
          <w:rFonts w:ascii="Times New Roman" w:eastAsia="Times New Roman" w:hAnsi="Times New Roman" w:cs="Times New Roman"/>
          <w:sz w:val="24"/>
          <w:szCs w:val="24"/>
        </w:rPr>
        <w:t>bagi</w:t>
      </w:r>
      <w:proofErr w:type="spellEnd"/>
      <w:r w:rsidR="00676070" w:rsidRPr="00B14ED8">
        <w:rPr>
          <w:rFonts w:ascii="Times New Roman" w:eastAsia="Times New Roman" w:hAnsi="Times New Roman" w:cs="Times New Roman"/>
          <w:sz w:val="24"/>
          <w:szCs w:val="24"/>
        </w:rPr>
        <w:t xml:space="preserve"> </w:t>
      </w:r>
      <w:proofErr w:type="spellStart"/>
      <w:r w:rsidR="00676070" w:rsidRPr="00B14ED8">
        <w:rPr>
          <w:rFonts w:ascii="Times New Roman" w:eastAsia="Times New Roman" w:hAnsi="Times New Roman" w:cs="Times New Roman"/>
          <w:sz w:val="24"/>
          <w:szCs w:val="24"/>
        </w:rPr>
        <w:t>hasil</w:t>
      </w:r>
      <w:proofErr w:type="spellEnd"/>
      <w:r w:rsidR="00676070" w:rsidRPr="00B14ED8">
        <w:rPr>
          <w:rFonts w:ascii="Times New Roman" w:eastAsia="Times New Roman" w:hAnsi="Times New Roman" w:cs="Times New Roman"/>
          <w:sz w:val="24"/>
          <w:szCs w:val="24"/>
        </w:rPr>
        <w:t xml:space="preserve">. </w:t>
      </w:r>
      <w:proofErr w:type="spellStart"/>
      <w:r w:rsidR="00676070" w:rsidRPr="00B14ED8">
        <w:rPr>
          <w:rFonts w:ascii="Times New Roman" w:eastAsia="Times New Roman" w:hAnsi="Times New Roman" w:cs="Times New Roman"/>
          <w:sz w:val="24"/>
          <w:szCs w:val="24"/>
        </w:rPr>
        <w:t>Ketentuan-ketentuan</w:t>
      </w:r>
      <w:proofErr w:type="spellEnd"/>
      <w:r w:rsidR="00676070" w:rsidRPr="00B14ED8">
        <w:rPr>
          <w:rFonts w:ascii="Times New Roman" w:eastAsia="Times New Roman" w:hAnsi="Times New Roman" w:cs="Times New Roman"/>
          <w:sz w:val="24"/>
          <w:szCs w:val="24"/>
        </w:rPr>
        <w:t xml:space="preserve"> </w:t>
      </w:r>
      <w:proofErr w:type="spellStart"/>
      <w:r w:rsidR="00676070" w:rsidRPr="00B14ED8">
        <w:rPr>
          <w:rFonts w:ascii="Times New Roman" w:eastAsia="Times New Roman" w:hAnsi="Times New Roman" w:cs="Times New Roman"/>
          <w:sz w:val="24"/>
          <w:szCs w:val="24"/>
        </w:rPr>
        <w:t>ini</w:t>
      </w:r>
      <w:proofErr w:type="spellEnd"/>
      <w:r w:rsidR="00676070" w:rsidRPr="00B14ED8">
        <w:rPr>
          <w:rFonts w:ascii="Times New Roman" w:eastAsia="Times New Roman" w:hAnsi="Times New Roman" w:cs="Times New Roman"/>
          <w:sz w:val="24"/>
          <w:szCs w:val="24"/>
        </w:rPr>
        <w:t xml:space="preserve"> </w:t>
      </w:r>
      <w:proofErr w:type="spellStart"/>
      <w:r w:rsidR="00676070" w:rsidRPr="00B14ED8">
        <w:rPr>
          <w:rFonts w:ascii="Times New Roman" w:eastAsia="Times New Roman" w:hAnsi="Times New Roman" w:cs="Times New Roman"/>
          <w:sz w:val="24"/>
          <w:szCs w:val="24"/>
        </w:rPr>
        <w:t>bergantung</w:t>
      </w:r>
      <w:proofErr w:type="spellEnd"/>
      <w:r w:rsidR="00676070" w:rsidRPr="00B14ED8">
        <w:rPr>
          <w:rFonts w:ascii="Times New Roman" w:eastAsia="Times New Roman" w:hAnsi="Times New Roman" w:cs="Times New Roman"/>
          <w:sz w:val="24"/>
          <w:szCs w:val="24"/>
        </w:rPr>
        <w:t xml:space="preserve"> pada </w:t>
      </w:r>
      <w:proofErr w:type="spellStart"/>
      <w:r w:rsidR="00676070" w:rsidRPr="00B14ED8">
        <w:rPr>
          <w:rFonts w:ascii="Times New Roman" w:eastAsia="Times New Roman" w:hAnsi="Times New Roman" w:cs="Times New Roman"/>
          <w:sz w:val="24"/>
          <w:szCs w:val="24"/>
        </w:rPr>
        <w:t>kesepakatan</w:t>
      </w:r>
      <w:proofErr w:type="spellEnd"/>
      <w:r w:rsidR="00676070" w:rsidRPr="00B14ED8">
        <w:rPr>
          <w:rFonts w:ascii="Times New Roman" w:eastAsia="Times New Roman" w:hAnsi="Times New Roman" w:cs="Times New Roman"/>
          <w:sz w:val="24"/>
          <w:szCs w:val="24"/>
        </w:rPr>
        <w:t xml:space="preserve"> </w:t>
      </w:r>
      <w:proofErr w:type="spellStart"/>
      <w:r w:rsidR="00676070" w:rsidRPr="00B14ED8">
        <w:rPr>
          <w:rFonts w:ascii="Times New Roman" w:eastAsia="Times New Roman" w:hAnsi="Times New Roman" w:cs="Times New Roman"/>
          <w:sz w:val="24"/>
          <w:szCs w:val="24"/>
        </w:rPr>
        <w:t>bersama</w:t>
      </w:r>
      <w:proofErr w:type="spellEnd"/>
      <w:r w:rsidR="00676070" w:rsidRPr="00B14ED8">
        <w:rPr>
          <w:rFonts w:ascii="Times New Roman" w:eastAsia="Times New Roman" w:hAnsi="Times New Roman" w:cs="Times New Roman"/>
          <w:sz w:val="24"/>
          <w:szCs w:val="24"/>
        </w:rPr>
        <w:t xml:space="preserve"> </w:t>
      </w:r>
      <w:proofErr w:type="spellStart"/>
      <w:r w:rsidR="00676070" w:rsidRPr="00B14ED8">
        <w:rPr>
          <w:rFonts w:ascii="Times New Roman" w:eastAsia="Times New Roman" w:hAnsi="Times New Roman" w:cs="Times New Roman"/>
          <w:sz w:val="24"/>
          <w:szCs w:val="24"/>
        </w:rPr>
        <w:t>antara</w:t>
      </w:r>
      <w:proofErr w:type="spellEnd"/>
      <w:r w:rsidR="00676070" w:rsidRPr="00B14ED8">
        <w:rPr>
          <w:rFonts w:ascii="Times New Roman" w:eastAsia="Times New Roman" w:hAnsi="Times New Roman" w:cs="Times New Roman"/>
          <w:sz w:val="24"/>
          <w:szCs w:val="24"/>
        </w:rPr>
        <w:t xml:space="preserve"> </w:t>
      </w:r>
      <w:proofErr w:type="spellStart"/>
      <w:r w:rsidR="00676070" w:rsidRPr="00B14ED8">
        <w:rPr>
          <w:rFonts w:ascii="Times New Roman" w:eastAsia="Times New Roman" w:hAnsi="Times New Roman" w:cs="Times New Roman"/>
          <w:sz w:val="24"/>
          <w:szCs w:val="24"/>
        </w:rPr>
        <w:t>pihak</w:t>
      </w:r>
      <w:proofErr w:type="spellEnd"/>
      <w:r w:rsidR="00676070" w:rsidRPr="00B14ED8">
        <w:rPr>
          <w:rFonts w:ascii="Times New Roman" w:eastAsia="Times New Roman" w:hAnsi="Times New Roman" w:cs="Times New Roman"/>
          <w:sz w:val="24"/>
          <w:szCs w:val="24"/>
        </w:rPr>
        <w:t xml:space="preserve"> </w:t>
      </w:r>
      <w:proofErr w:type="spellStart"/>
      <w:r w:rsidR="00EB076D" w:rsidRPr="00B14ED8">
        <w:rPr>
          <w:rFonts w:ascii="Times New Roman" w:eastAsia="Times New Roman" w:hAnsi="Times New Roman" w:cs="Times New Roman"/>
          <w:sz w:val="24"/>
          <w:szCs w:val="24"/>
        </w:rPr>
        <w:t>perbankan</w:t>
      </w:r>
      <w:proofErr w:type="spellEnd"/>
      <w:r w:rsidR="00EB076D" w:rsidRPr="00B14ED8">
        <w:rPr>
          <w:rFonts w:ascii="Times New Roman" w:eastAsia="Times New Roman" w:hAnsi="Times New Roman" w:cs="Times New Roman"/>
          <w:sz w:val="24"/>
          <w:szCs w:val="24"/>
        </w:rPr>
        <w:t xml:space="preserve"> dan </w:t>
      </w:r>
      <w:proofErr w:type="spellStart"/>
      <w:r w:rsidR="00EB076D" w:rsidRPr="00B14ED8">
        <w:rPr>
          <w:rFonts w:ascii="Times New Roman" w:eastAsia="Times New Roman" w:hAnsi="Times New Roman" w:cs="Times New Roman"/>
          <w:sz w:val="24"/>
          <w:szCs w:val="24"/>
        </w:rPr>
        <w:t>nasabah</w:t>
      </w:r>
      <w:proofErr w:type="spellEnd"/>
      <w:r w:rsidR="00EB076D" w:rsidRPr="00B14ED8">
        <w:rPr>
          <w:rFonts w:ascii="Times New Roman" w:eastAsia="Times New Roman" w:hAnsi="Times New Roman" w:cs="Times New Roman"/>
          <w:sz w:val="24"/>
          <w:szCs w:val="24"/>
        </w:rPr>
        <w:t xml:space="preserve"> </w:t>
      </w:r>
      <w:r w:rsidR="00676070" w:rsidRPr="00B14ED8">
        <w:rPr>
          <w:rFonts w:ascii="Times New Roman" w:eastAsia="Times New Roman" w:hAnsi="Times New Roman" w:cs="Times New Roman"/>
          <w:sz w:val="24"/>
          <w:szCs w:val="24"/>
        </w:rPr>
        <w:t xml:space="preserve">yang </w:t>
      </w:r>
      <w:proofErr w:type="spellStart"/>
      <w:r w:rsidR="00676070" w:rsidRPr="00B14ED8">
        <w:rPr>
          <w:rFonts w:ascii="Times New Roman" w:eastAsia="Times New Roman" w:hAnsi="Times New Roman" w:cs="Times New Roman"/>
          <w:sz w:val="24"/>
          <w:szCs w:val="24"/>
        </w:rPr>
        <w:t>terlibat</w:t>
      </w:r>
      <w:proofErr w:type="spellEnd"/>
      <w:r w:rsidR="0039310B" w:rsidRPr="00B14ED8">
        <w:rPr>
          <w:rFonts w:ascii="Times New Roman" w:eastAsia="Times New Roman" w:hAnsi="Times New Roman" w:cs="Times New Roman"/>
          <w:sz w:val="24"/>
          <w:szCs w:val="24"/>
        </w:rPr>
        <w:fldChar w:fldCharType="begin" w:fldLock="1"/>
      </w:r>
      <w:r w:rsidR="00887F8B" w:rsidRPr="00B14ED8">
        <w:rPr>
          <w:rFonts w:ascii="Times New Roman" w:eastAsia="Times New Roman" w:hAnsi="Times New Roman" w:cs="Times New Roman"/>
          <w:sz w:val="24"/>
          <w:szCs w:val="24"/>
        </w:rPr>
        <w:instrText>ADDIN CSL_CITATION {"citationItems":[{"id":"ITEM-1","itemData":{"author":[{"dropping-particle":"","family":"Jais","given":"Muhammad","non-dropping-particle":"","parse-names":false,"suffix":""},{"dropping-particle":"","family":"Sofyan","given":"Faizah","non-dropping-particle":"","parse-names":false,"suffix":""},{"dropping-particle":"","family":"Bacha","given":"Asmaou Mohamed","non-dropping-particle":"","parse-names":false,"suffix":""}],"container-title":"Proceedings of the 2nd Aceh Global Conference on Business Economic and Sustainable Development Trends","id":"ITEM-1","issued":{"date-parts":[["2019"]]},"page":"107-114","title":"Mudarabah and Musharakah as an Equity Financing Model : Issues in Practice","type":"paper-conference"},"uris":["http://www.mendeley.com/documents/?uuid=edfd40b4-8b57-46ad-b7f6-04ec747d52a8"]}],"mendeley":{"formattedCitation":"(Jais et al., 2019)","plainTextFormattedCitation":"(Jais et al., 2019)","previouslyFormattedCitation":"(Jais et al., 2019)"},"properties":{"noteIndex":0},"schema":"https://github.com/citation-style-language/schema/raw/master/csl-citation.json"}</w:instrText>
      </w:r>
      <w:r w:rsidR="0039310B" w:rsidRPr="00B14ED8">
        <w:rPr>
          <w:rFonts w:ascii="Times New Roman" w:eastAsia="Times New Roman" w:hAnsi="Times New Roman" w:cs="Times New Roman"/>
          <w:sz w:val="24"/>
          <w:szCs w:val="24"/>
        </w:rPr>
        <w:fldChar w:fldCharType="separate"/>
      </w:r>
      <w:r w:rsidR="0039310B" w:rsidRPr="00B14ED8">
        <w:rPr>
          <w:rFonts w:ascii="Times New Roman" w:eastAsia="Times New Roman" w:hAnsi="Times New Roman" w:cs="Times New Roman"/>
          <w:noProof/>
          <w:sz w:val="24"/>
          <w:szCs w:val="24"/>
        </w:rPr>
        <w:t>(Jais et al., 2019)</w:t>
      </w:r>
      <w:r w:rsidR="0039310B" w:rsidRPr="00B14ED8">
        <w:rPr>
          <w:rFonts w:ascii="Times New Roman" w:eastAsia="Times New Roman" w:hAnsi="Times New Roman" w:cs="Times New Roman"/>
          <w:sz w:val="24"/>
          <w:szCs w:val="24"/>
        </w:rPr>
        <w:fldChar w:fldCharType="end"/>
      </w:r>
      <w:r w:rsidR="0087643F" w:rsidRPr="00B14ED8">
        <w:rPr>
          <w:rFonts w:ascii="Times New Roman" w:eastAsia="Times New Roman" w:hAnsi="Times New Roman" w:cs="Times New Roman"/>
          <w:sz w:val="24"/>
          <w:szCs w:val="24"/>
        </w:rPr>
        <w:t>.</w:t>
      </w:r>
      <w:r w:rsidR="00066500" w:rsidRPr="00B14ED8">
        <w:rPr>
          <w:rFonts w:ascii="Times New Roman" w:eastAsia="Times New Roman" w:hAnsi="Times New Roman" w:cs="Times New Roman"/>
          <w:sz w:val="24"/>
          <w:szCs w:val="24"/>
        </w:rPr>
        <w:t xml:space="preserve"> </w:t>
      </w:r>
      <w:proofErr w:type="spellStart"/>
      <w:r w:rsidR="00887F8B" w:rsidRPr="00B14ED8">
        <w:rPr>
          <w:rFonts w:ascii="Times New Roman" w:eastAsia="Times New Roman" w:hAnsi="Times New Roman" w:cs="Times New Roman"/>
          <w:sz w:val="24"/>
          <w:szCs w:val="24"/>
        </w:rPr>
        <w:t>Indikator</w:t>
      </w:r>
      <w:proofErr w:type="spellEnd"/>
      <w:r w:rsidR="00887F8B" w:rsidRPr="00B14ED8">
        <w:rPr>
          <w:rFonts w:ascii="Times New Roman" w:eastAsia="Times New Roman" w:hAnsi="Times New Roman" w:cs="Times New Roman"/>
          <w:sz w:val="24"/>
          <w:szCs w:val="24"/>
        </w:rPr>
        <w:t xml:space="preserve"> </w:t>
      </w:r>
      <w:proofErr w:type="spellStart"/>
      <w:r w:rsidR="00887F8B" w:rsidRPr="00B14ED8">
        <w:rPr>
          <w:rFonts w:ascii="Times New Roman" w:eastAsia="Times New Roman" w:hAnsi="Times New Roman" w:cs="Times New Roman"/>
          <w:sz w:val="24"/>
          <w:szCs w:val="24"/>
        </w:rPr>
        <w:t>pembiayaan</w:t>
      </w:r>
      <w:proofErr w:type="spellEnd"/>
      <w:r w:rsidR="00887F8B" w:rsidRPr="00B14ED8">
        <w:rPr>
          <w:rFonts w:ascii="Times New Roman" w:eastAsia="Times New Roman" w:hAnsi="Times New Roman" w:cs="Times New Roman"/>
          <w:sz w:val="24"/>
          <w:szCs w:val="24"/>
        </w:rPr>
        <w:t xml:space="preserve"> </w:t>
      </w:r>
      <w:proofErr w:type="spellStart"/>
      <w:r w:rsidR="00887F8B" w:rsidRPr="00B14ED8">
        <w:rPr>
          <w:rFonts w:ascii="Times New Roman" w:eastAsia="Times New Roman" w:hAnsi="Times New Roman" w:cs="Times New Roman"/>
          <w:i/>
          <w:iCs/>
          <w:sz w:val="24"/>
          <w:szCs w:val="24"/>
        </w:rPr>
        <w:t>musyarakah</w:t>
      </w:r>
      <w:proofErr w:type="spellEnd"/>
      <w:r w:rsidR="00887F8B" w:rsidRPr="00B14ED8">
        <w:rPr>
          <w:rFonts w:ascii="Times New Roman" w:eastAsia="Times New Roman" w:hAnsi="Times New Roman" w:cs="Times New Roman"/>
          <w:i/>
          <w:iCs/>
          <w:sz w:val="24"/>
          <w:szCs w:val="24"/>
        </w:rPr>
        <w:t xml:space="preserve"> </w:t>
      </w:r>
      <w:r w:rsidR="00887F8B" w:rsidRPr="00B14ED8">
        <w:rPr>
          <w:rFonts w:ascii="Times New Roman" w:eastAsia="Times New Roman" w:hAnsi="Times New Roman" w:cs="Times New Roman"/>
          <w:sz w:val="24"/>
          <w:szCs w:val="24"/>
        </w:rPr>
        <w:t xml:space="preserve">pada </w:t>
      </w:r>
      <w:proofErr w:type="spellStart"/>
      <w:r w:rsidR="00887F8B" w:rsidRPr="00B14ED8">
        <w:rPr>
          <w:rFonts w:ascii="Times New Roman" w:eastAsia="Times New Roman" w:hAnsi="Times New Roman" w:cs="Times New Roman"/>
          <w:sz w:val="24"/>
          <w:szCs w:val="24"/>
        </w:rPr>
        <w:t>penelitian</w:t>
      </w:r>
      <w:proofErr w:type="spellEnd"/>
      <w:r w:rsidR="00887F8B" w:rsidRPr="00B14ED8">
        <w:rPr>
          <w:rFonts w:ascii="Times New Roman" w:eastAsia="Times New Roman" w:hAnsi="Times New Roman" w:cs="Times New Roman"/>
          <w:sz w:val="24"/>
          <w:szCs w:val="24"/>
        </w:rPr>
        <w:t xml:space="preserve"> </w:t>
      </w:r>
      <w:proofErr w:type="spellStart"/>
      <w:r w:rsidR="00887F8B" w:rsidRPr="00B14ED8">
        <w:rPr>
          <w:rFonts w:ascii="Times New Roman" w:eastAsia="Times New Roman" w:hAnsi="Times New Roman" w:cs="Times New Roman"/>
          <w:sz w:val="24"/>
          <w:szCs w:val="24"/>
        </w:rPr>
        <w:t>ini</w:t>
      </w:r>
      <w:proofErr w:type="spellEnd"/>
      <w:r w:rsidR="00887F8B" w:rsidRPr="00B14ED8">
        <w:rPr>
          <w:rFonts w:ascii="Times New Roman" w:eastAsia="Times New Roman" w:hAnsi="Times New Roman" w:cs="Times New Roman"/>
          <w:sz w:val="24"/>
          <w:szCs w:val="24"/>
        </w:rPr>
        <w:t xml:space="preserve"> </w:t>
      </w:r>
      <w:proofErr w:type="spellStart"/>
      <w:r w:rsidR="00887F8B" w:rsidRPr="00B14ED8">
        <w:rPr>
          <w:rFonts w:ascii="Times New Roman" w:eastAsia="Times New Roman" w:hAnsi="Times New Roman" w:cs="Times New Roman"/>
          <w:sz w:val="24"/>
          <w:szCs w:val="24"/>
        </w:rPr>
        <w:t>dihitung</w:t>
      </w:r>
      <w:proofErr w:type="spellEnd"/>
      <w:r w:rsidR="00887F8B" w:rsidRPr="00B14ED8">
        <w:rPr>
          <w:rFonts w:ascii="Times New Roman" w:eastAsia="Times New Roman" w:hAnsi="Times New Roman" w:cs="Times New Roman"/>
          <w:sz w:val="24"/>
          <w:szCs w:val="24"/>
        </w:rPr>
        <w:t xml:space="preserve"> </w:t>
      </w:r>
      <w:proofErr w:type="spellStart"/>
      <w:r w:rsidR="00887F8B" w:rsidRPr="00B14ED8">
        <w:rPr>
          <w:rFonts w:ascii="Times New Roman" w:eastAsia="Times New Roman" w:hAnsi="Times New Roman" w:cs="Times New Roman"/>
          <w:sz w:val="24"/>
          <w:szCs w:val="24"/>
        </w:rPr>
        <w:t>menggunakan</w:t>
      </w:r>
      <w:proofErr w:type="spellEnd"/>
      <w:r w:rsidR="00887F8B" w:rsidRPr="00B14ED8">
        <w:rPr>
          <w:rFonts w:ascii="Times New Roman" w:eastAsia="Times New Roman" w:hAnsi="Times New Roman" w:cs="Times New Roman"/>
          <w:sz w:val="24"/>
          <w:szCs w:val="24"/>
        </w:rPr>
        <w:t xml:space="preserve"> </w:t>
      </w:r>
      <w:proofErr w:type="spellStart"/>
      <w:r w:rsidR="00887F8B" w:rsidRPr="00B14ED8">
        <w:rPr>
          <w:rFonts w:ascii="Times New Roman" w:eastAsia="Times New Roman" w:hAnsi="Times New Roman" w:cs="Times New Roman"/>
          <w:sz w:val="24"/>
          <w:szCs w:val="24"/>
        </w:rPr>
        <w:t>nilai</w:t>
      </w:r>
      <w:proofErr w:type="spellEnd"/>
      <w:r w:rsidR="00887F8B" w:rsidRPr="00B14ED8">
        <w:rPr>
          <w:rFonts w:ascii="Times New Roman" w:eastAsia="Times New Roman" w:hAnsi="Times New Roman" w:cs="Times New Roman"/>
          <w:sz w:val="24"/>
          <w:szCs w:val="24"/>
        </w:rPr>
        <w:t xml:space="preserve"> </w:t>
      </w:r>
      <w:proofErr w:type="spellStart"/>
      <w:r w:rsidR="00887F8B" w:rsidRPr="00B14ED8">
        <w:rPr>
          <w:rFonts w:ascii="Times New Roman" w:eastAsia="Times New Roman" w:hAnsi="Times New Roman" w:cs="Times New Roman"/>
          <w:sz w:val="24"/>
          <w:szCs w:val="24"/>
        </w:rPr>
        <w:t>persentase</w:t>
      </w:r>
      <w:proofErr w:type="spellEnd"/>
      <w:r w:rsidR="00887F8B" w:rsidRPr="00B14ED8">
        <w:rPr>
          <w:rFonts w:ascii="Times New Roman" w:eastAsia="Times New Roman" w:hAnsi="Times New Roman" w:cs="Times New Roman"/>
          <w:sz w:val="24"/>
          <w:szCs w:val="24"/>
        </w:rPr>
        <w:t xml:space="preserve"> </w:t>
      </w:r>
      <w:proofErr w:type="spellStart"/>
      <w:r w:rsidR="00887F8B" w:rsidRPr="00B14ED8">
        <w:rPr>
          <w:rFonts w:ascii="Times New Roman" w:eastAsia="Times New Roman" w:hAnsi="Times New Roman" w:cs="Times New Roman"/>
          <w:sz w:val="24"/>
          <w:szCs w:val="24"/>
        </w:rPr>
        <w:t>pembiayaan</w:t>
      </w:r>
      <w:proofErr w:type="spellEnd"/>
      <w:r w:rsidR="00887F8B" w:rsidRPr="00B14ED8">
        <w:rPr>
          <w:rFonts w:ascii="Times New Roman" w:eastAsia="Times New Roman" w:hAnsi="Times New Roman" w:cs="Times New Roman"/>
          <w:sz w:val="24"/>
          <w:szCs w:val="24"/>
        </w:rPr>
        <w:t xml:space="preserve"> </w:t>
      </w:r>
      <w:proofErr w:type="spellStart"/>
      <w:r w:rsidR="00887F8B" w:rsidRPr="00B14ED8">
        <w:rPr>
          <w:rFonts w:ascii="Times New Roman" w:eastAsia="Times New Roman" w:hAnsi="Times New Roman" w:cs="Times New Roman"/>
          <w:i/>
          <w:iCs/>
          <w:sz w:val="24"/>
          <w:szCs w:val="24"/>
        </w:rPr>
        <w:t>musyarakah</w:t>
      </w:r>
      <w:proofErr w:type="spellEnd"/>
      <w:r w:rsidR="00887F8B" w:rsidRPr="00B14ED8">
        <w:rPr>
          <w:rFonts w:ascii="Times New Roman" w:eastAsia="Times New Roman" w:hAnsi="Times New Roman" w:cs="Times New Roman"/>
          <w:i/>
          <w:iCs/>
          <w:sz w:val="24"/>
          <w:szCs w:val="24"/>
        </w:rPr>
        <w:t xml:space="preserve"> </w:t>
      </w:r>
      <w:proofErr w:type="spellStart"/>
      <w:r w:rsidR="00035E54" w:rsidRPr="00B14ED8">
        <w:rPr>
          <w:rFonts w:ascii="Times New Roman" w:eastAsia="Times New Roman" w:hAnsi="Times New Roman" w:cs="Times New Roman"/>
          <w:sz w:val="24"/>
          <w:szCs w:val="24"/>
        </w:rPr>
        <w:t>sebagai</w:t>
      </w:r>
      <w:proofErr w:type="spellEnd"/>
      <w:r w:rsidR="00035E54" w:rsidRPr="00B14ED8">
        <w:rPr>
          <w:rFonts w:ascii="Times New Roman" w:eastAsia="Times New Roman" w:hAnsi="Times New Roman" w:cs="Times New Roman"/>
          <w:sz w:val="24"/>
          <w:szCs w:val="24"/>
        </w:rPr>
        <w:t xml:space="preserve"> </w:t>
      </w:r>
      <w:proofErr w:type="spellStart"/>
      <w:r w:rsidR="00035E54" w:rsidRPr="00B14ED8">
        <w:rPr>
          <w:rFonts w:ascii="Times New Roman" w:eastAsia="Times New Roman" w:hAnsi="Times New Roman" w:cs="Times New Roman"/>
          <w:sz w:val="24"/>
          <w:szCs w:val="24"/>
        </w:rPr>
        <w:t>berikut</w:t>
      </w:r>
      <w:proofErr w:type="spellEnd"/>
      <w:r w:rsidR="00887F8B" w:rsidRPr="00B14ED8">
        <w:rPr>
          <w:rFonts w:ascii="Times New Roman" w:eastAsia="Times New Roman" w:hAnsi="Times New Roman" w:cs="Times New Roman"/>
          <w:sz w:val="24"/>
          <w:szCs w:val="24"/>
        </w:rPr>
        <w:fldChar w:fldCharType="begin" w:fldLock="1"/>
      </w:r>
      <w:r w:rsidR="00C5760A" w:rsidRPr="00B14ED8">
        <w:rPr>
          <w:rFonts w:ascii="Times New Roman" w:eastAsia="Times New Roman" w:hAnsi="Times New Roman" w:cs="Times New Roman"/>
          <w:sz w:val="24"/>
          <w:szCs w:val="24"/>
        </w:rPr>
        <w:instrText>ADDIN CSL_CITATION {"citationItems":[{"id":"ITEM-1","itemData":{"DOI":"10.55047/cashflow.v1i4.307","ISSN":"2809-848X","abstract":"This research seeks to reveal the relationship between operating costs of operating income, the ratio of capital adequacy and musyarakah financing to the profitability of Islamic/Sharia commercial banks. The independent variables used in this study are operating income operating costs (BOPO), Capital Adequacy Ratio (CAR), Musyarakah Financing and the dependent variables used in this study are the profitability value of Islamic commercial banks. The method used in this study is a quantitative method where the data is in the form of a report officially published by the Financial Services Authority (OJK). From the results of the processing data, it was discovered that there was a relationship and contribution of independent variables to dependent variables, this was seen from the Coefficient of Determination Test with a value of 66%, hence operating costs of operating income, capital adequacy ratio and musyarakah financing  on profitability is seen from the results of the T test and F test where both have a value of &lt; 0.05, which means that the variables BOPO, Capital Adequacy and Musyarakah  Financing simultaneously or separately have the same results, namely inter-mediated and related.","author":[{"dropping-particle":"","family":"Kuraeni","given":"Anis","non-dropping-particle":"","parse-names":false,"suffix":""},{"dropping-particle":"","family":"Isnaeni","given":"Fil","non-dropping-particle":"","parse-names":false,"suffix":""}],"container-title":"Cashflow : Current Advanced Research on Sharia Finance and Economic Worldwide","id":"ITEM-1","issue":"4","issued":{"date-parts":[["2022"]]},"page":"169-182","title":"Impact of Operational Costs of Operational Income (Bopo), Capital Capability Ratio and Musyarakah Financing on the Profitability of Sharia Commercial Banks 2016-2021","type":"article-journal","volume":"1"},"uris":["http://www.mendeley.com/documents/?uuid=846a475e-b187-457a-b710-5775286b0cf8"]}],"mendeley":{"formattedCitation":"(Kuraeni &amp; Isnaeni, 2022)","plainTextFormattedCitation":"(Kuraeni &amp; Isnaeni, 2022)","previouslyFormattedCitation":"(Kuraeni &amp; Isnaeni, 2022)"},"properties":{"noteIndex":0},"schema":"https://github.com/citation-style-language/schema/raw/master/csl-citation.json"}</w:instrText>
      </w:r>
      <w:r w:rsidR="00887F8B" w:rsidRPr="00B14ED8">
        <w:rPr>
          <w:rFonts w:ascii="Times New Roman" w:eastAsia="Times New Roman" w:hAnsi="Times New Roman" w:cs="Times New Roman"/>
          <w:sz w:val="24"/>
          <w:szCs w:val="24"/>
        </w:rPr>
        <w:fldChar w:fldCharType="separate"/>
      </w:r>
      <w:r w:rsidR="00887F8B" w:rsidRPr="00B14ED8">
        <w:rPr>
          <w:rFonts w:ascii="Times New Roman" w:eastAsia="Times New Roman" w:hAnsi="Times New Roman" w:cs="Times New Roman"/>
          <w:noProof/>
          <w:sz w:val="24"/>
          <w:szCs w:val="24"/>
        </w:rPr>
        <w:t>(Kuraeni &amp; Isnaeni, 2022)</w:t>
      </w:r>
      <w:r w:rsidR="00887F8B" w:rsidRPr="00B14ED8">
        <w:rPr>
          <w:rFonts w:ascii="Times New Roman" w:eastAsia="Times New Roman" w:hAnsi="Times New Roman" w:cs="Times New Roman"/>
          <w:sz w:val="24"/>
          <w:szCs w:val="24"/>
        </w:rPr>
        <w:fldChar w:fldCharType="end"/>
      </w:r>
      <w:r w:rsidR="00887F8B" w:rsidRPr="00B14ED8">
        <w:rPr>
          <w:rFonts w:ascii="Times New Roman" w:eastAsia="Times New Roman" w:hAnsi="Times New Roman" w:cs="Times New Roman"/>
          <w:sz w:val="24"/>
          <w:szCs w:val="24"/>
        </w:rPr>
        <w:t>:</w:t>
      </w:r>
    </w:p>
    <w:p w14:paraId="70501D9C" w14:textId="7987B70A" w:rsidR="003F6079" w:rsidRPr="00B14ED8" w:rsidRDefault="003F6079" w:rsidP="00B14ED8">
      <w:pPr>
        <w:spacing w:after="0" w:line="360" w:lineRule="auto"/>
        <w:ind w:right="208"/>
        <w:jc w:val="both"/>
        <w:rPr>
          <w:rStyle w:val="fontstyle01"/>
          <w:rFonts w:ascii="Times New Roman" w:hAnsi="Times New Roman" w:cs="Times New Roman"/>
          <w:color w:val="000000" w:themeColor="text1"/>
          <w:sz w:val="24"/>
          <w:szCs w:val="24"/>
        </w:rPr>
      </w:pPr>
      <m:oMathPara>
        <m:oMath>
          <m:r>
            <w:rPr>
              <w:rStyle w:val="fontstyle01"/>
              <w:rFonts w:ascii="Cambria Math" w:hAnsi="Cambria Math" w:cs="Times New Roman"/>
              <w:color w:val="000000" w:themeColor="text1"/>
              <w:sz w:val="24"/>
              <w:szCs w:val="24"/>
            </w:rPr>
            <m:t>Persentase Pembiayaan Musyarakah=</m:t>
          </m:r>
          <m:f>
            <m:fPr>
              <m:ctrlPr>
                <w:rPr>
                  <w:rStyle w:val="fontstyle01"/>
                  <w:rFonts w:ascii="Cambria Math" w:hAnsi="Cambria Math" w:cs="Times New Roman"/>
                  <w:i/>
                  <w:color w:val="000000" w:themeColor="text1"/>
                  <w:sz w:val="24"/>
                  <w:szCs w:val="24"/>
                </w:rPr>
              </m:ctrlPr>
            </m:fPr>
            <m:num>
              <m:r>
                <w:rPr>
                  <w:rStyle w:val="fontstyle01"/>
                  <w:rFonts w:ascii="Cambria Math" w:hAnsi="Cambria Math" w:cs="Times New Roman"/>
                  <w:color w:val="000000" w:themeColor="text1"/>
                  <w:sz w:val="24"/>
                  <w:szCs w:val="24"/>
                </w:rPr>
                <m:t>Total Pembiayaan Musyarakah</m:t>
              </m:r>
            </m:num>
            <m:den>
              <m:r>
                <w:rPr>
                  <w:rStyle w:val="fontstyle01"/>
                  <w:rFonts w:ascii="Cambria Math" w:hAnsi="Cambria Math" w:cs="Times New Roman"/>
                  <w:color w:val="000000" w:themeColor="text1"/>
                  <w:sz w:val="24"/>
                  <w:szCs w:val="24"/>
                </w:rPr>
                <m:t>Total Pembiayaan Keseluruhan</m:t>
              </m:r>
            </m:den>
          </m:f>
          <m:r>
            <w:rPr>
              <w:rStyle w:val="fontstyle01"/>
              <w:rFonts w:ascii="Cambria Math" w:hAnsi="Cambria Math" w:cs="Times New Roman"/>
              <w:color w:val="000000" w:themeColor="text1"/>
              <w:sz w:val="24"/>
              <w:szCs w:val="24"/>
            </w:rPr>
            <m:t xml:space="preserve"> x 100 %</m:t>
          </m:r>
        </m:oMath>
      </m:oMathPara>
    </w:p>
    <w:p w14:paraId="24339EC9" w14:textId="714F9D41" w:rsidR="00CD4FB8" w:rsidRPr="00B14ED8" w:rsidRDefault="00CD4FB8" w:rsidP="00B14ED8">
      <w:pPr>
        <w:tabs>
          <w:tab w:val="left" w:pos="567"/>
        </w:tabs>
        <w:spacing w:after="0" w:line="360" w:lineRule="auto"/>
        <w:jc w:val="both"/>
        <w:rPr>
          <w:rFonts w:ascii="Times New Roman" w:eastAsia="Times New Roman" w:hAnsi="Times New Roman" w:cs="Times New Roman"/>
          <w:b/>
          <w:bCs/>
          <w:sz w:val="24"/>
          <w:szCs w:val="24"/>
        </w:rPr>
      </w:pPr>
      <w:proofErr w:type="spellStart"/>
      <w:r w:rsidRPr="00B14ED8">
        <w:rPr>
          <w:rFonts w:ascii="Times New Roman" w:eastAsia="Times New Roman" w:hAnsi="Times New Roman" w:cs="Times New Roman"/>
          <w:b/>
          <w:bCs/>
          <w:sz w:val="24"/>
          <w:szCs w:val="24"/>
        </w:rPr>
        <w:lastRenderedPageBreak/>
        <w:t>Manajemen</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Risiko</w:t>
      </w:r>
      <w:proofErr w:type="spellEnd"/>
    </w:p>
    <w:p w14:paraId="36C4963F" w14:textId="24BB6B9B" w:rsidR="002446A4" w:rsidRPr="00B14ED8" w:rsidRDefault="00E1292A" w:rsidP="00B14ED8">
      <w:pPr>
        <w:tabs>
          <w:tab w:val="left" w:pos="567"/>
        </w:tabs>
        <w:spacing w:after="0" w:line="360" w:lineRule="auto"/>
        <w:ind w:firstLine="567"/>
        <w:jc w:val="both"/>
        <w:rPr>
          <w:rFonts w:ascii="Times New Roman" w:eastAsia="Times New Roman" w:hAnsi="Times New Roman" w:cs="Times New Roman"/>
          <w:sz w:val="24"/>
          <w:szCs w:val="24"/>
        </w:rPr>
      </w:pPr>
      <w:proofErr w:type="spellStart"/>
      <w:r w:rsidRPr="00B14ED8">
        <w:rPr>
          <w:rFonts w:ascii="Times New Roman" w:eastAsia="Times New Roman" w:hAnsi="Times New Roman" w:cs="Times New Roman"/>
          <w:sz w:val="24"/>
          <w:szCs w:val="24"/>
        </w:rPr>
        <w:t>Upaya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untuk</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meningkatkan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kualitas</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implementasi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manajemen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risiko</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dapat</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dilakukan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melalui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manajemen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risiko</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terintegrasi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yaitu</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dengan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penerapan</w:t>
      </w:r>
      <w:proofErr w:type="spellEnd"/>
      <w:r w:rsidRPr="00B14ED8">
        <w:rPr>
          <w:rFonts w:ascii="Times New Roman" w:eastAsia="Times New Roman" w:hAnsi="Times New Roman" w:cs="Times New Roman"/>
          <w:sz w:val="24"/>
          <w:szCs w:val="24"/>
        </w:rPr>
        <w:t xml:space="preserve"> </w:t>
      </w:r>
      <w:proofErr w:type="spellStart"/>
      <w:r w:rsidR="007F6A12" w:rsidRPr="00B14ED8">
        <w:rPr>
          <w:rFonts w:ascii="Times New Roman" w:eastAsia="Times New Roman" w:hAnsi="Times New Roman" w:cs="Times New Roman"/>
          <w:sz w:val="24"/>
          <w:szCs w:val="24"/>
        </w:rPr>
        <w:t>manajemen</w:t>
      </w:r>
      <w:proofErr w:type="spellEnd"/>
      <w:r w:rsidR="007F6A12" w:rsidRPr="00B14ED8">
        <w:rPr>
          <w:rFonts w:ascii="Times New Roman" w:eastAsia="Times New Roman" w:hAnsi="Times New Roman" w:cs="Times New Roman"/>
          <w:sz w:val="24"/>
          <w:szCs w:val="24"/>
        </w:rPr>
        <w:t xml:space="preserve"> </w:t>
      </w:r>
      <w:proofErr w:type="spellStart"/>
      <w:r w:rsidR="007F6A12" w:rsidRPr="00B14ED8">
        <w:rPr>
          <w:rFonts w:ascii="Times New Roman" w:eastAsia="Times New Roman" w:hAnsi="Times New Roman" w:cs="Times New Roman"/>
          <w:sz w:val="24"/>
          <w:szCs w:val="24"/>
        </w:rPr>
        <w:t>risiko</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Menurut</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pendekatan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holistik</w:t>
      </w:r>
      <w:proofErr w:type="spellEnd"/>
      <w:r w:rsidRPr="00B14ED8">
        <w:rPr>
          <w:rFonts w:ascii="Times New Roman" w:eastAsia="Times New Roman" w:hAnsi="Times New Roman" w:cs="Times New Roman"/>
          <w:sz w:val="24"/>
          <w:szCs w:val="24"/>
        </w:rPr>
        <w:t xml:space="preserve">, </w:t>
      </w:r>
      <w:proofErr w:type="spellStart"/>
      <w:r w:rsidR="007A690B" w:rsidRPr="00B14ED8">
        <w:rPr>
          <w:rFonts w:ascii="Times New Roman" w:eastAsia="Times New Roman" w:hAnsi="Times New Roman" w:cs="Times New Roman"/>
          <w:sz w:val="24"/>
          <w:szCs w:val="24"/>
        </w:rPr>
        <w:t>manajemen</w:t>
      </w:r>
      <w:proofErr w:type="spellEnd"/>
      <w:r w:rsidR="007A690B" w:rsidRPr="00B14ED8">
        <w:rPr>
          <w:rFonts w:ascii="Times New Roman" w:eastAsia="Times New Roman" w:hAnsi="Times New Roman" w:cs="Times New Roman"/>
          <w:sz w:val="24"/>
          <w:szCs w:val="24"/>
        </w:rPr>
        <w:t xml:space="preserve"> </w:t>
      </w:r>
      <w:proofErr w:type="spellStart"/>
      <w:r w:rsidR="007A690B" w:rsidRPr="00B14ED8">
        <w:rPr>
          <w:rFonts w:ascii="Times New Roman" w:eastAsia="Times New Roman" w:hAnsi="Times New Roman" w:cs="Times New Roman"/>
          <w:sz w:val="24"/>
          <w:szCs w:val="24"/>
        </w:rPr>
        <w:t>risiko</w:t>
      </w:r>
      <w:proofErr w:type="spellEnd"/>
      <w:r w:rsidR="007A690B" w:rsidRPr="00B14ED8">
        <w:rPr>
          <w:rFonts w:ascii="Times New Roman" w:eastAsia="Times New Roman" w:hAnsi="Times New Roman" w:cs="Times New Roman"/>
          <w:sz w:val="24"/>
          <w:szCs w:val="24"/>
        </w:rPr>
        <w:t xml:space="preserve"> </w:t>
      </w:r>
      <w:proofErr w:type="spellStart"/>
      <w:r w:rsidR="007A690B" w:rsidRPr="00B14ED8">
        <w:rPr>
          <w:rFonts w:ascii="Times New Roman" w:eastAsia="Times New Roman" w:hAnsi="Times New Roman" w:cs="Times New Roman"/>
          <w:sz w:val="24"/>
          <w:szCs w:val="24"/>
        </w:rPr>
        <w:t>merupakan</w:t>
      </w:r>
      <w:proofErr w:type="spellEnd"/>
      <w:r w:rsidR="007A690B" w:rsidRPr="00B14ED8">
        <w:rPr>
          <w:rFonts w:ascii="Times New Roman" w:eastAsia="Times New Roman" w:hAnsi="Times New Roman" w:cs="Times New Roman"/>
          <w:sz w:val="24"/>
          <w:szCs w:val="24"/>
        </w:rPr>
        <w:t xml:space="preserve"> </w:t>
      </w:r>
      <w:proofErr w:type="spellStart"/>
      <w:r w:rsidR="007A690B" w:rsidRPr="00B14ED8">
        <w:rPr>
          <w:rFonts w:ascii="Times New Roman" w:eastAsia="Times New Roman" w:hAnsi="Times New Roman" w:cs="Times New Roman"/>
          <w:sz w:val="24"/>
          <w:szCs w:val="24"/>
        </w:rPr>
        <w:t>tindakan</w:t>
      </w:r>
      <w:proofErr w:type="spellEnd"/>
      <w:r w:rsidR="007A690B" w:rsidRPr="00B14ED8">
        <w:rPr>
          <w:rFonts w:ascii="Times New Roman" w:eastAsia="Times New Roman" w:hAnsi="Times New Roman" w:cs="Times New Roman"/>
          <w:sz w:val="24"/>
          <w:szCs w:val="24"/>
        </w:rPr>
        <w:t xml:space="preserve"> </w:t>
      </w:r>
      <w:proofErr w:type="spellStart"/>
      <w:r w:rsidR="007A690B" w:rsidRPr="00B14ED8">
        <w:rPr>
          <w:rFonts w:ascii="Times New Roman" w:eastAsia="Times New Roman" w:hAnsi="Times New Roman" w:cs="Times New Roman"/>
          <w:sz w:val="24"/>
          <w:szCs w:val="24"/>
        </w:rPr>
        <w:t>serta</w:t>
      </w:r>
      <w:proofErr w:type="spellEnd"/>
      <w:r w:rsidR="007A690B" w:rsidRPr="00B14ED8">
        <w:rPr>
          <w:rFonts w:ascii="Times New Roman" w:eastAsia="Times New Roman" w:hAnsi="Times New Roman" w:cs="Times New Roman"/>
          <w:sz w:val="24"/>
          <w:szCs w:val="24"/>
        </w:rPr>
        <w:t xml:space="preserve"> </w:t>
      </w:r>
      <w:proofErr w:type="spellStart"/>
      <w:r w:rsidR="007A690B" w:rsidRPr="00B14ED8">
        <w:rPr>
          <w:rFonts w:ascii="Times New Roman" w:eastAsia="Times New Roman" w:hAnsi="Times New Roman" w:cs="Times New Roman"/>
          <w:sz w:val="24"/>
          <w:szCs w:val="24"/>
        </w:rPr>
        <w:t>upaya</w:t>
      </w:r>
      <w:proofErr w:type="spellEnd"/>
      <w:r w:rsidR="007A690B" w:rsidRPr="00B14ED8">
        <w:rPr>
          <w:rFonts w:ascii="Times New Roman" w:eastAsia="Times New Roman" w:hAnsi="Times New Roman" w:cs="Times New Roman"/>
          <w:sz w:val="24"/>
          <w:szCs w:val="24"/>
        </w:rPr>
        <w:t xml:space="preserve"> – </w:t>
      </w:r>
      <w:proofErr w:type="spellStart"/>
      <w:r w:rsidR="007A690B" w:rsidRPr="00B14ED8">
        <w:rPr>
          <w:rFonts w:ascii="Times New Roman" w:eastAsia="Times New Roman" w:hAnsi="Times New Roman" w:cs="Times New Roman"/>
          <w:sz w:val="24"/>
          <w:szCs w:val="24"/>
        </w:rPr>
        <w:t>upaya</w:t>
      </w:r>
      <w:proofErr w:type="spellEnd"/>
      <w:r w:rsidR="007A690B" w:rsidRPr="00B14ED8">
        <w:rPr>
          <w:rFonts w:ascii="Times New Roman" w:eastAsia="Times New Roman" w:hAnsi="Times New Roman" w:cs="Times New Roman"/>
          <w:sz w:val="24"/>
          <w:szCs w:val="24"/>
        </w:rPr>
        <w:t xml:space="preserve"> </w:t>
      </w:r>
      <w:proofErr w:type="spellStart"/>
      <w:r w:rsidR="007A690B" w:rsidRPr="00B14ED8">
        <w:rPr>
          <w:rFonts w:ascii="Times New Roman" w:eastAsia="Times New Roman" w:hAnsi="Times New Roman" w:cs="Times New Roman"/>
          <w:sz w:val="24"/>
          <w:szCs w:val="24"/>
        </w:rPr>
        <w:t>dalam</w:t>
      </w:r>
      <w:proofErr w:type="spellEnd"/>
      <w:r w:rsidR="007A690B"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mengidentifikasi</w:t>
      </w:r>
      <w:proofErr w:type="spellEnd"/>
      <w:r w:rsidRPr="00B14ED8">
        <w:rPr>
          <w:rFonts w:ascii="Times New Roman" w:eastAsia="Times New Roman" w:hAnsi="Times New Roman" w:cs="Times New Roman"/>
          <w:sz w:val="24"/>
          <w:szCs w:val="24"/>
        </w:rPr>
        <w:t xml:space="preserve"> dan </w:t>
      </w:r>
      <w:proofErr w:type="spellStart"/>
      <w:r w:rsidRPr="00B14ED8">
        <w:rPr>
          <w:rFonts w:ascii="Times New Roman" w:eastAsia="Times New Roman" w:hAnsi="Times New Roman" w:cs="Times New Roman"/>
          <w:sz w:val="24"/>
          <w:szCs w:val="24"/>
        </w:rPr>
        <w:t>menilai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berbagai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risiko</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mengintegrasikan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semua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jenis</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risiko</w:t>
      </w:r>
      <w:proofErr w:type="spellEnd"/>
      <w:r w:rsidRPr="00B14ED8">
        <w:rPr>
          <w:rFonts w:ascii="Times New Roman" w:eastAsia="Times New Roman" w:hAnsi="Times New Roman" w:cs="Times New Roman"/>
          <w:sz w:val="24"/>
          <w:szCs w:val="24"/>
        </w:rPr>
        <w:t xml:space="preserve">, dan </w:t>
      </w:r>
      <w:proofErr w:type="spellStart"/>
      <w:r w:rsidRPr="00B14ED8">
        <w:rPr>
          <w:rFonts w:ascii="Times New Roman" w:eastAsia="Times New Roman" w:hAnsi="Times New Roman" w:cs="Times New Roman"/>
          <w:sz w:val="24"/>
          <w:szCs w:val="24"/>
        </w:rPr>
        <w:t>kemudian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mengkoordinasikan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kegiatan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manajemen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risiko</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ke</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semua</w:t>
      </w:r>
      <w:proofErr w:type="spellEnd"/>
      <w:r w:rsidRPr="00B14ED8">
        <w:rPr>
          <w:rFonts w:ascii="Times New Roman" w:eastAsia="Times New Roman" w:hAnsi="Times New Roman" w:cs="Times New Roman"/>
          <w:sz w:val="24"/>
          <w:szCs w:val="24"/>
        </w:rPr>
        <w:t xml:space="preserve"> unit </w:t>
      </w:r>
      <w:proofErr w:type="spellStart"/>
      <w:r w:rsidRPr="00B14ED8">
        <w:rPr>
          <w:rFonts w:ascii="Times New Roman" w:eastAsia="Times New Roman" w:hAnsi="Times New Roman" w:cs="Times New Roman"/>
          <w:sz w:val="24"/>
          <w:szCs w:val="24"/>
        </w:rPr>
        <w:t>operasional</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dalam</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sebuah</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organisasi</w:t>
      </w:r>
      <w:proofErr w:type="spellEnd"/>
      <w:r w:rsidR="0022251F" w:rsidRPr="00B14ED8">
        <w:rPr>
          <w:rFonts w:ascii="Times New Roman" w:eastAsia="Times New Roman" w:hAnsi="Times New Roman" w:cs="Times New Roman"/>
          <w:sz w:val="24"/>
          <w:szCs w:val="24"/>
        </w:rPr>
        <w:t xml:space="preserve"> </w:t>
      </w:r>
      <w:proofErr w:type="spellStart"/>
      <w:r w:rsidR="0022251F" w:rsidRPr="00B14ED8">
        <w:rPr>
          <w:rFonts w:ascii="Times New Roman" w:eastAsia="Times New Roman" w:hAnsi="Times New Roman" w:cs="Times New Roman"/>
          <w:sz w:val="24"/>
          <w:szCs w:val="24"/>
        </w:rPr>
        <w:t>atau</w:t>
      </w:r>
      <w:proofErr w:type="spellEnd"/>
      <w:r w:rsidR="0022251F" w:rsidRPr="00B14ED8">
        <w:rPr>
          <w:rFonts w:ascii="Times New Roman" w:eastAsia="Times New Roman" w:hAnsi="Times New Roman" w:cs="Times New Roman"/>
          <w:sz w:val="24"/>
          <w:szCs w:val="24"/>
        </w:rPr>
        <w:t xml:space="preserve"> </w:t>
      </w:r>
      <w:proofErr w:type="spellStart"/>
      <w:r w:rsidR="0022251F" w:rsidRPr="00B14ED8">
        <w:rPr>
          <w:rFonts w:ascii="Times New Roman" w:eastAsia="Times New Roman" w:hAnsi="Times New Roman" w:cs="Times New Roman"/>
          <w:sz w:val="24"/>
          <w:szCs w:val="24"/>
        </w:rPr>
        <w:t>perusahaa</w:t>
      </w:r>
      <w:r w:rsidR="00F34170" w:rsidRPr="00B14ED8">
        <w:rPr>
          <w:rFonts w:ascii="Times New Roman" w:eastAsia="Times New Roman" w:hAnsi="Times New Roman" w:cs="Times New Roman"/>
          <w:sz w:val="24"/>
          <w:szCs w:val="24"/>
        </w:rPr>
        <w:t>n</w:t>
      </w:r>
      <w:proofErr w:type="spellEnd"/>
      <w:r w:rsidR="00C5760A" w:rsidRPr="00B14ED8">
        <w:rPr>
          <w:rFonts w:ascii="Times New Roman" w:eastAsia="Times New Roman" w:hAnsi="Times New Roman" w:cs="Times New Roman"/>
          <w:sz w:val="24"/>
          <w:szCs w:val="24"/>
        </w:rPr>
        <w:fldChar w:fldCharType="begin" w:fldLock="1"/>
      </w:r>
      <w:r w:rsidR="00317FB6" w:rsidRPr="00B14ED8">
        <w:rPr>
          <w:rFonts w:ascii="Times New Roman" w:eastAsia="Times New Roman" w:hAnsi="Times New Roman" w:cs="Times New Roman"/>
          <w:sz w:val="24"/>
          <w:szCs w:val="24"/>
        </w:rPr>
        <w:instrText>ADDIN CSL_CITATION {"citationItems":[{"id":"ITEM-1","itemData":{"author":[{"dropping-particle":"","family":"Iswajuni","given":"","non-dropping-particle":"","parse-names":false,"suffix":""},{"dropping-particle":"","family":"Soetedjo","given":"Soegeng","non-dropping-particle":"","parse-names":false,"suffix":""},{"dropping-particle":"","family":"Manasikana","given":"Arina","non-dropping-particle":"","parse-names":false,"suffix":""}],"container-title":"JOURNAL OF APPLIED MANAGERIAL ACCOUNTING","id":"ITEM-1","issue":"2","issued":{"date-parts":[["2018"]]},"page":"275-281","title":"PENGARUH ENTERPRISE RISK MANAGEMENT ( ERM ) TERHADAP NILAI PERUSAHAAN PADA PERUSAHAAN","type":"article-journal","volume":"2"},"uris":["http://www.mendeley.com/documents/?uuid=de5e863f-b234-458f-a29e-d3188553c4b7"]}],"mendeley":{"formattedCitation":"(Iswajuni et al., 2018)","plainTextFormattedCitation":"(Iswajuni et al., 2018)","previouslyFormattedCitation":"(Iswajuni et al., 2018)"},"properties":{"noteIndex":0},"schema":"https://github.com/citation-style-language/schema/raw/master/csl-citation.json"}</w:instrText>
      </w:r>
      <w:r w:rsidR="00C5760A" w:rsidRPr="00B14ED8">
        <w:rPr>
          <w:rFonts w:ascii="Times New Roman" w:eastAsia="Times New Roman" w:hAnsi="Times New Roman" w:cs="Times New Roman"/>
          <w:sz w:val="24"/>
          <w:szCs w:val="24"/>
        </w:rPr>
        <w:fldChar w:fldCharType="separate"/>
      </w:r>
      <w:r w:rsidR="00C5760A" w:rsidRPr="00B14ED8">
        <w:rPr>
          <w:rFonts w:ascii="Times New Roman" w:eastAsia="Times New Roman" w:hAnsi="Times New Roman" w:cs="Times New Roman"/>
          <w:noProof/>
          <w:sz w:val="24"/>
          <w:szCs w:val="24"/>
        </w:rPr>
        <w:t>(Iswajuni et al., 2018)</w:t>
      </w:r>
      <w:r w:rsidR="00C5760A" w:rsidRPr="00B14ED8">
        <w:rPr>
          <w:rFonts w:ascii="Times New Roman" w:eastAsia="Times New Roman" w:hAnsi="Times New Roman" w:cs="Times New Roman"/>
          <w:sz w:val="24"/>
          <w:szCs w:val="24"/>
        </w:rPr>
        <w:fldChar w:fldCharType="end"/>
      </w:r>
      <w:r w:rsidRPr="00B14ED8">
        <w:rPr>
          <w:rFonts w:ascii="Times New Roman" w:eastAsia="Times New Roman" w:hAnsi="Times New Roman" w:cs="Times New Roman"/>
          <w:sz w:val="24"/>
          <w:szCs w:val="24"/>
        </w:rPr>
        <w:t>.</w:t>
      </w:r>
      <w:r w:rsidR="007A4316" w:rsidRPr="00B14ED8">
        <w:rPr>
          <w:rFonts w:ascii="Times New Roman" w:eastAsia="Times New Roman" w:hAnsi="Times New Roman" w:cs="Times New Roman"/>
          <w:sz w:val="24"/>
          <w:szCs w:val="24"/>
        </w:rPr>
        <w:t xml:space="preserve"> </w:t>
      </w:r>
      <w:proofErr w:type="spellStart"/>
      <w:r w:rsidR="007A4316" w:rsidRPr="00B14ED8">
        <w:rPr>
          <w:rFonts w:ascii="Times New Roman" w:eastAsia="Times New Roman" w:hAnsi="Times New Roman" w:cs="Times New Roman"/>
          <w:sz w:val="24"/>
          <w:szCs w:val="24"/>
        </w:rPr>
        <w:t>Indikator</w:t>
      </w:r>
      <w:proofErr w:type="spellEnd"/>
      <w:r w:rsidR="007A4316" w:rsidRPr="00B14ED8">
        <w:rPr>
          <w:rFonts w:ascii="Times New Roman" w:eastAsia="Times New Roman" w:hAnsi="Times New Roman" w:cs="Times New Roman"/>
          <w:sz w:val="24"/>
          <w:szCs w:val="24"/>
        </w:rPr>
        <w:t xml:space="preserve"> </w:t>
      </w:r>
      <w:proofErr w:type="spellStart"/>
      <w:r w:rsidR="007A4316" w:rsidRPr="00B14ED8">
        <w:rPr>
          <w:rFonts w:ascii="Times New Roman" w:eastAsia="Times New Roman" w:hAnsi="Times New Roman" w:cs="Times New Roman"/>
          <w:sz w:val="24"/>
          <w:szCs w:val="24"/>
        </w:rPr>
        <w:t>penerapan</w:t>
      </w:r>
      <w:proofErr w:type="spellEnd"/>
      <w:r w:rsidR="007A4316" w:rsidRPr="00B14ED8">
        <w:rPr>
          <w:rFonts w:ascii="Times New Roman" w:eastAsia="Times New Roman" w:hAnsi="Times New Roman" w:cs="Times New Roman"/>
          <w:sz w:val="24"/>
          <w:szCs w:val="24"/>
        </w:rPr>
        <w:t xml:space="preserve"> </w:t>
      </w:r>
      <w:proofErr w:type="spellStart"/>
      <w:r w:rsidR="007A4316" w:rsidRPr="00B14ED8">
        <w:rPr>
          <w:rFonts w:ascii="Times New Roman" w:eastAsia="Times New Roman" w:hAnsi="Times New Roman" w:cs="Times New Roman"/>
          <w:sz w:val="24"/>
          <w:szCs w:val="24"/>
        </w:rPr>
        <w:t>manajemen</w:t>
      </w:r>
      <w:proofErr w:type="spellEnd"/>
      <w:r w:rsidR="007A4316" w:rsidRPr="00B14ED8">
        <w:rPr>
          <w:rFonts w:ascii="Times New Roman" w:eastAsia="Times New Roman" w:hAnsi="Times New Roman" w:cs="Times New Roman"/>
          <w:sz w:val="24"/>
          <w:szCs w:val="24"/>
        </w:rPr>
        <w:t xml:space="preserve"> </w:t>
      </w:r>
      <w:proofErr w:type="spellStart"/>
      <w:r w:rsidR="007A4316" w:rsidRPr="00B14ED8">
        <w:rPr>
          <w:rFonts w:ascii="Times New Roman" w:eastAsia="Times New Roman" w:hAnsi="Times New Roman" w:cs="Times New Roman"/>
          <w:sz w:val="24"/>
          <w:szCs w:val="24"/>
        </w:rPr>
        <w:t>risiko</w:t>
      </w:r>
      <w:proofErr w:type="spellEnd"/>
      <w:r w:rsidR="007A4316" w:rsidRPr="00B14ED8">
        <w:rPr>
          <w:rFonts w:ascii="Times New Roman" w:eastAsia="Times New Roman" w:hAnsi="Times New Roman" w:cs="Times New Roman"/>
          <w:sz w:val="24"/>
          <w:szCs w:val="24"/>
        </w:rPr>
        <w:t xml:space="preserve"> </w:t>
      </w:r>
      <w:proofErr w:type="spellStart"/>
      <w:r w:rsidR="007A4316" w:rsidRPr="00B14ED8">
        <w:rPr>
          <w:rFonts w:ascii="Times New Roman" w:eastAsia="Times New Roman" w:hAnsi="Times New Roman" w:cs="Times New Roman"/>
          <w:sz w:val="24"/>
          <w:szCs w:val="24"/>
        </w:rPr>
        <w:t>didasarkan</w:t>
      </w:r>
      <w:proofErr w:type="spellEnd"/>
      <w:r w:rsidR="007A4316" w:rsidRPr="00B14ED8">
        <w:rPr>
          <w:rFonts w:ascii="Times New Roman" w:eastAsia="Times New Roman" w:hAnsi="Times New Roman" w:cs="Times New Roman"/>
          <w:sz w:val="24"/>
          <w:szCs w:val="24"/>
        </w:rPr>
        <w:t xml:space="preserve"> pada </w:t>
      </w:r>
      <w:proofErr w:type="spellStart"/>
      <w:r w:rsidR="007A4316" w:rsidRPr="00B14ED8">
        <w:rPr>
          <w:rFonts w:ascii="Times New Roman" w:eastAsia="Times New Roman" w:hAnsi="Times New Roman" w:cs="Times New Roman"/>
          <w:sz w:val="24"/>
          <w:szCs w:val="24"/>
        </w:rPr>
        <w:t>pengungkapan</w:t>
      </w:r>
      <w:proofErr w:type="spellEnd"/>
      <w:r w:rsidR="007A4316" w:rsidRPr="00B14ED8">
        <w:rPr>
          <w:rFonts w:ascii="Times New Roman" w:eastAsia="Times New Roman" w:hAnsi="Times New Roman" w:cs="Times New Roman"/>
          <w:sz w:val="24"/>
          <w:szCs w:val="24"/>
        </w:rPr>
        <w:t xml:space="preserve"> </w:t>
      </w:r>
      <w:proofErr w:type="spellStart"/>
      <w:r w:rsidR="00211B3B" w:rsidRPr="00B14ED8">
        <w:rPr>
          <w:rFonts w:ascii="Times New Roman" w:eastAsia="Times New Roman" w:hAnsi="Times New Roman" w:cs="Times New Roman"/>
          <w:sz w:val="24"/>
          <w:szCs w:val="24"/>
        </w:rPr>
        <w:t>manajemen</w:t>
      </w:r>
      <w:proofErr w:type="spellEnd"/>
      <w:r w:rsidR="007A4316" w:rsidRPr="00B14ED8">
        <w:rPr>
          <w:rFonts w:ascii="Times New Roman" w:eastAsia="Times New Roman" w:hAnsi="Times New Roman" w:cs="Times New Roman"/>
          <w:sz w:val="24"/>
          <w:szCs w:val="24"/>
        </w:rPr>
        <w:t xml:space="preserve"> </w:t>
      </w:r>
      <w:proofErr w:type="spellStart"/>
      <w:r w:rsidR="00C45735" w:rsidRPr="00B14ED8">
        <w:rPr>
          <w:rFonts w:ascii="Times New Roman" w:eastAsia="Times New Roman" w:hAnsi="Times New Roman" w:cs="Times New Roman"/>
          <w:sz w:val="24"/>
          <w:szCs w:val="24"/>
        </w:rPr>
        <w:t>risiko</w:t>
      </w:r>
      <w:proofErr w:type="spellEnd"/>
      <w:r w:rsidR="00C45735" w:rsidRPr="00B14ED8">
        <w:rPr>
          <w:rFonts w:ascii="Times New Roman" w:eastAsia="Times New Roman" w:hAnsi="Times New Roman" w:cs="Times New Roman"/>
          <w:sz w:val="24"/>
          <w:szCs w:val="24"/>
        </w:rPr>
        <w:t xml:space="preserve"> </w:t>
      </w:r>
      <w:r w:rsidR="007A4316" w:rsidRPr="00B14ED8">
        <w:rPr>
          <w:rFonts w:ascii="Times New Roman" w:eastAsia="Times New Roman" w:hAnsi="Times New Roman" w:cs="Times New Roman"/>
          <w:sz w:val="24"/>
          <w:szCs w:val="24"/>
        </w:rPr>
        <w:t xml:space="preserve">yang </w:t>
      </w:r>
      <w:proofErr w:type="spellStart"/>
      <w:r w:rsidR="007A4316" w:rsidRPr="00B14ED8">
        <w:rPr>
          <w:rFonts w:ascii="Times New Roman" w:eastAsia="Times New Roman" w:hAnsi="Times New Roman" w:cs="Times New Roman"/>
          <w:sz w:val="24"/>
          <w:szCs w:val="24"/>
        </w:rPr>
        <w:t>terdapat</w:t>
      </w:r>
      <w:proofErr w:type="spellEnd"/>
      <w:r w:rsidR="007A4316" w:rsidRPr="00B14ED8">
        <w:rPr>
          <w:rFonts w:ascii="Times New Roman" w:eastAsia="Times New Roman" w:hAnsi="Times New Roman" w:cs="Times New Roman"/>
          <w:sz w:val="24"/>
          <w:szCs w:val="24"/>
        </w:rPr>
        <w:t xml:space="preserve"> </w:t>
      </w:r>
      <w:proofErr w:type="spellStart"/>
      <w:r w:rsidR="007A4316" w:rsidRPr="00B14ED8">
        <w:rPr>
          <w:rFonts w:ascii="Times New Roman" w:eastAsia="Times New Roman" w:hAnsi="Times New Roman" w:cs="Times New Roman"/>
          <w:sz w:val="24"/>
          <w:szCs w:val="24"/>
        </w:rPr>
        <w:t>dalam</w:t>
      </w:r>
      <w:proofErr w:type="spellEnd"/>
      <w:r w:rsidR="007A4316" w:rsidRPr="00B14ED8">
        <w:rPr>
          <w:rFonts w:ascii="Times New Roman" w:eastAsia="Times New Roman" w:hAnsi="Times New Roman" w:cs="Times New Roman"/>
          <w:sz w:val="24"/>
          <w:szCs w:val="24"/>
        </w:rPr>
        <w:t xml:space="preserve"> </w:t>
      </w:r>
      <w:proofErr w:type="spellStart"/>
      <w:r w:rsidR="007A4316" w:rsidRPr="00B14ED8">
        <w:rPr>
          <w:rFonts w:ascii="Times New Roman" w:eastAsia="Times New Roman" w:hAnsi="Times New Roman" w:cs="Times New Roman"/>
          <w:sz w:val="24"/>
          <w:szCs w:val="24"/>
        </w:rPr>
        <w:t>laporan</w:t>
      </w:r>
      <w:proofErr w:type="spellEnd"/>
      <w:r w:rsidR="007A4316" w:rsidRPr="00B14ED8">
        <w:rPr>
          <w:rFonts w:ascii="Times New Roman" w:eastAsia="Times New Roman" w:hAnsi="Times New Roman" w:cs="Times New Roman"/>
          <w:sz w:val="24"/>
          <w:szCs w:val="24"/>
        </w:rPr>
        <w:t xml:space="preserve"> </w:t>
      </w:r>
      <w:proofErr w:type="spellStart"/>
      <w:r w:rsidR="007A4316" w:rsidRPr="00B14ED8">
        <w:rPr>
          <w:rFonts w:ascii="Times New Roman" w:eastAsia="Times New Roman" w:hAnsi="Times New Roman" w:cs="Times New Roman"/>
          <w:sz w:val="24"/>
          <w:szCs w:val="24"/>
        </w:rPr>
        <w:t>tahunan</w:t>
      </w:r>
      <w:proofErr w:type="spellEnd"/>
      <w:r w:rsidR="007A4316" w:rsidRPr="00B14ED8">
        <w:rPr>
          <w:rFonts w:ascii="Times New Roman" w:eastAsia="Times New Roman" w:hAnsi="Times New Roman" w:cs="Times New Roman"/>
          <w:sz w:val="24"/>
          <w:szCs w:val="24"/>
        </w:rPr>
        <w:t xml:space="preserve"> </w:t>
      </w:r>
      <w:proofErr w:type="spellStart"/>
      <w:r w:rsidR="007A4316" w:rsidRPr="00B14ED8">
        <w:rPr>
          <w:rFonts w:ascii="Times New Roman" w:eastAsia="Times New Roman" w:hAnsi="Times New Roman" w:cs="Times New Roman"/>
          <w:sz w:val="24"/>
          <w:szCs w:val="24"/>
        </w:rPr>
        <w:t>perusahaan</w:t>
      </w:r>
      <w:proofErr w:type="spellEnd"/>
      <w:r w:rsidR="007A4316" w:rsidRPr="00B14ED8">
        <w:rPr>
          <w:rFonts w:ascii="Times New Roman" w:eastAsia="Times New Roman" w:hAnsi="Times New Roman" w:cs="Times New Roman"/>
          <w:sz w:val="24"/>
          <w:szCs w:val="24"/>
        </w:rPr>
        <w:t xml:space="preserve"> </w:t>
      </w:r>
      <w:proofErr w:type="spellStart"/>
      <w:r w:rsidR="007A4316" w:rsidRPr="00B14ED8">
        <w:rPr>
          <w:rFonts w:ascii="Times New Roman" w:eastAsia="Times New Roman" w:hAnsi="Times New Roman" w:cs="Times New Roman"/>
          <w:sz w:val="24"/>
          <w:szCs w:val="24"/>
        </w:rPr>
        <w:t>dengan</w:t>
      </w:r>
      <w:proofErr w:type="spellEnd"/>
      <w:r w:rsidR="007A4316" w:rsidRPr="00B14ED8">
        <w:rPr>
          <w:rFonts w:ascii="Times New Roman" w:eastAsia="Times New Roman" w:hAnsi="Times New Roman" w:cs="Times New Roman"/>
          <w:sz w:val="24"/>
          <w:szCs w:val="24"/>
        </w:rPr>
        <w:t xml:space="preserve"> </w:t>
      </w:r>
      <w:proofErr w:type="spellStart"/>
      <w:r w:rsidR="00D709BD" w:rsidRPr="00B14ED8">
        <w:rPr>
          <w:rFonts w:ascii="Times New Roman" w:eastAsia="Times New Roman" w:hAnsi="Times New Roman" w:cs="Times New Roman"/>
          <w:sz w:val="24"/>
          <w:szCs w:val="24"/>
        </w:rPr>
        <w:t>cara</w:t>
      </w:r>
      <w:proofErr w:type="spellEnd"/>
      <w:r w:rsidR="00D709BD" w:rsidRPr="00B14ED8">
        <w:rPr>
          <w:rFonts w:ascii="Times New Roman" w:eastAsia="Times New Roman" w:hAnsi="Times New Roman" w:cs="Times New Roman"/>
          <w:sz w:val="24"/>
          <w:szCs w:val="24"/>
        </w:rPr>
        <w:t xml:space="preserve"> </w:t>
      </w:r>
      <w:proofErr w:type="spellStart"/>
      <w:r w:rsidR="007A4316" w:rsidRPr="00B14ED8">
        <w:rPr>
          <w:rFonts w:ascii="Times New Roman" w:eastAsia="Times New Roman" w:hAnsi="Times New Roman" w:cs="Times New Roman"/>
          <w:sz w:val="24"/>
          <w:szCs w:val="24"/>
        </w:rPr>
        <w:t>mencari</w:t>
      </w:r>
      <w:proofErr w:type="spellEnd"/>
      <w:r w:rsidR="007A4316" w:rsidRPr="00B14ED8">
        <w:rPr>
          <w:rFonts w:ascii="Times New Roman" w:eastAsia="Times New Roman" w:hAnsi="Times New Roman" w:cs="Times New Roman"/>
          <w:sz w:val="24"/>
          <w:szCs w:val="24"/>
        </w:rPr>
        <w:t xml:space="preserve"> </w:t>
      </w:r>
      <w:proofErr w:type="spellStart"/>
      <w:r w:rsidR="007A4316" w:rsidRPr="00B14ED8">
        <w:rPr>
          <w:rFonts w:ascii="Times New Roman" w:eastAsia="Times New Roman" w:hAnsi="Times New Roman" w:cs="Times New Roman"/>
          <w:sz w:val="24"/>
          <w:szCs w:val="24"/>
        </w:rPr>
        <w:t>frasa</w:t>
      </w:r>
      <w:proofErr w:type="spellEnd"/>
      <w:r w:rsidR="007A4316" w:rsidRPr="00B14ED8">
        <w:rPr>
          <w:rFonts w:ascii="Times New Roman" w:eastAsia="Times New Roman" w:hAnsi="Times New Roman" w:cs="Times New Roman"/>
          <w:sz w:val="24"/>
          <w:szCs w:val="24"/>
        </w:rPr>
        <w:t xml:space="preserve"> yang </w:t>
      </w:r>
      <w:proofErr w:type="spellStart"/>
      <w:r w:rsidR="007A4316" w:rsidRPr="00B14ED8">
        <w:rPr>
          <w:rFonts w:ascii="Times New Roman" w:eastAsia="Times New Roman" w:hAnsi="Times New Roman" w:cs="Times New Roman"/>
          <w:sz w:val="24"/>
          <w:szCs w:val="24"/>
        </w:rPr>
        <w:t>sama</w:t>
      </w:r>
      <w:proofErr w:type="spellEnd"/>
      <w:r w:rsidR="007A4316" w:rsidRPr="00B14ED8">
        <w:rPr>
          <w:rFonts w:ascii="Times New Roman" w:eastAsia="Times New Roman" w:hAnsi="Times New Roman" w:cs="Times New Roman"/>
          <w:sz w:val="24"/>
          <w:szCs w:val="24"/>
        </w:rPr>
        <w:t xml:space="preserve"> </w:t>
      </w:r>
      <w:proofErr w:type="spellStart"/>
      <w:r w:rsidR="007A4316" w:rsidRPr="00B14ED8">
        <w:rPr>
          <w:rFonts w:ascii="Times New Roman" w:eastAsia="Times New Roman" w:hAnsi="Times New Roman" w:cs="Times New Roman"/>
          <w:sz w:val="24"/>
          <w:szCs w:val="24"/>
        </w:rPr>
        <w:t>dengan</w:t>
      </w:r>
      <w:proofErr w:type="spellEnd"/>
      <w:r w:rsidR="007A4316" w:rsidRPr="00B14ED8">
        <w:rPr>
          <w:rFonts w:ascii="Times New Roman" w:eastAsia="Times New Roman" w:hAnsi="Times New Roman" w:cs="Times New Roman"/>
          <w:sz w:val="24"/>
          <w:szCs w:val="24"/>
        </w:rPr>
        <w:t xml:space="preserve"> kata-kata </w:t>
      </w:r>
      <w:proofErr w:type="spellStart"/>
      <w:r w:rsidR="007A4316" w:rsidRPr="00B14ED8">
        <w:rPr>
          <w:rFonts w:ascii="Times New Roman" w:eastAsia="Times New Roman" w:hAnsi="Times New Roman" w:cs="Times New Roman"/>
          <w:sz w:val="24"/>
          <w:szCs w:val="24"/>
        </w:rPr>
        <w:t>berikut</w:t>
      </w:r>
      <w:proofErr w:type="spellEnd"/>
      <w:r w:rsidR="002446A4" w:rsidRPr="00B14ED8">
        <w:rPr>
          <w:rFonts w:ascii="Times New Roman" w:eastAsia="Times New Roman" w:hAnsi="Times New Roman" w:cs="Times New Roman"/>
          <w:sz w:val="24"/>
          <w:szCs w:val="24"/>
        </w:rPr>
        <w:t>:</w:t>
      </w:r>
    </w:p>
    <w:p w14:paraId="4809AE06" w14:textId="7B1CA2BC" w:rsidR="002446A4" w:rsidRPr="00B14ED8" w:rsidRDefault="007A4316" w:rsidP="00B14ED8">
      <w:pPr>
        <w:pStyle w:val="ListParagraph"/>
        <w:numPr>
          <w:ilvl w:val="0"/>
          <w:numId w:val="12"/>
        </w:numPr>
        <w:spacing w:after="0" w:line="360" w:lineRule="auto"/>
        <w:ind w:left="993" w:hanging="426"/>
        <w:jc w:val="both"/>
        <w:rPr>
          <w:rFonts w:ascii="Times New Roman" w:eastAsia="Times New Roman" w:hAnsi="Times New Roman" w:cs="Times New Roman"/>
          <w:sz w:val="24"/>
          <w:szCs w:val="24"/>
        </w:rPr>
      </w:pPr>
      <w:r w:rsidRPr="00B14ED8">
        <w:rPr>
          <w:rFonts w:ascii="Times New Roman" w:eastAsia="Times New Roman" w:hAnsi="Times New Roman" w:cs="Times New Roman"/>
          <w:sz w:val="24"/>
          <w:szCs w:val="24"/>
        </w:rPr>
        <w:t>ERM</w:t>
      </w:r>
      <w:r w:rsidR="0002494F" w:rsidRPr="00B14ED8">
        <w:rPr>
          <w:rFonts w:ascii="Times New Roman" w:eastAsia="Times New Roman" w:hAnsi="Times New Roman" w:cs="Times New Roman"/>
          <w:sz w:val="24"/>
          <w:szCs w:val="24"/>
        </w:rPr>
        <w:t xml:space="preserve"> (</w:t>
      </w:r>
      <w:r w:rsidR="0002494F" w:rsidRPr="00B14ED8">
        <w:rPr>
          <w:rFonts w:ascii="Times New Roman" w:eastAsia="Times New Roman" w:hAnsi="Times New Roman" w:cs="Times New Roman"/>
          <w:i/>
          <w:iCs/>
          <w:sz w:val="24"/>
          <w:szCs w:val="24"/>
        </w:rPr>
        <w:t>Enterprise Risk Management/</w:t>
      </w:r>
      <w:r w:rsidR="0002494F" w:rsidRPr="00B14ED8">
        <w:rPr>
          <w:rFonts w:ascii="Times New Roman" w:eastAsia="Times New Roman" w:hAnsi="Times New Roman" w:cs="Times New Roman"/>
          <w:sz w:val="24"/>
          <w:szCs w:val="24"/>
        </w:rPr>
        <w:t xml:space="preserve"> </w:t>
      </w:r>
      <w:proofErr w:type="spellStart"/>
      <w:r w:rsidR="0002494F" w:rsidRPr="00B14ED8">
        <w:rPr>
          <w:rFonts w:ascii="Times New Roman" w:eastAsia="Times New Roman" w:hAnsi="Times New Roman" w:cs="Times New Roman"/>
          <w:sz w:val="24"/>
          <w:szCs w:val="24"/>
        </w:rPr>
        <w:t>Manajemen</w:t>
      </w:r>
      <w:proofErr w:type="spellEnd"/>
      <w:r w:rsidR="0002494F" w:rsidRPr="00B14ED8">
        <w:rPr>
          <w:rFonts w:ascii="Times New Roman" w:eastAsia="Times New Roman" w:hAnsi="Times New Roman" w:cs="Times New Roman"/>
          <w:sz w:val="24"/>
          <w:szCs w:val="24"/>
        </w:rPr>
        <w:t xml:space="preserve"> </w:t>
      </w:r>
      <w:proofErr w:type="spellStart"/>
      <w:r w:rsidR="0002494F" w:rsidRPr="00B14ED8">
        <w:rPr>
          <w:rFonts w:ascii="Times New Roman" w:eastAsia="Times New Roman" w:hAnsi="Times New Roman" w:cs="Times New Roman"/>
          <w:sz w:val="24"/>
          <w:szCs w:val="24"/>
        </w:rPr>
        <w:t>Risiko</w:t>
      </w:r>
      <w:proofErr w:type="spellEnd"/>
      <w:r w:rsidR="0002494F" w:rsidRPr="00B14ED8">
        <w:rPr>
          <w:rFonts w:ascii="Times New Roman" w:eastAsia="Times New Roman" w:hAnsi="Times New Roman" w:cs="Times New Roman"/>
          <w:sz w:val="24"/>
          <w:szCs w:val="24"/>
        </w:rPr>
        <w:t xml:space="preserve"> Perusahaan)</w:t>
      </w:r>
    </w:p>
    <w:p w14:paraId="1B8D9F42" w14:textId="5264BE8A" w:rsidR="002446A4" w:rsidRPr="00B14ED8" w:rsidRDefault="007A4316" w:rsidP="00B14ED8">
      <w:pPr>
        <w:pStyle w:val="ListParagraph"/>
        <w:numPr>
          <w:ilvl w:val="0"/>
          <w:numId w:val="12"/>
        </w:numPr>
        <w:spacing w:after="0" w:line="360" w:lineRule="auto"/>
        <w:ind w:left="993" w:hanging="426"/>
        <w:jc w:val="both"/>
        <w:rPr>
          <w:rFonts w:ascii="Times New Roman" w:eastAsia="Times New Roman" w:hAnsi="Times New Roman" w:cs="Times New Roman"/>
          <w:i/>
          <w:iCs/>
          <w:sz w:val="24"/>
          <w:szCs w:val="24"/>
        </w:rPr>
      </w:pPr>
      <w:r w:rsidRPr="00B14ED8">
        <w:rPr>
          <w:rFonts w:ascii="Times New Roman" w:eastAsia="Times New Roman" w:hAnsi="Times New Roman" w:cs="Times New Roman"/>
          <w:i/>
          <w:iCs/>
          <w:sz w:val="24"/>
          <w:szCs w:val="24"/>
        </w:rPr>
        <w:t>Chief Risk Officer</w:t>
      </w:r>
      <w:r w:rsidR="004F552E" w:rsidRPr="00B14ED8">
        <w:rPr>
          <w:rFonts w:ascii="Times New Roman" w:eastAsia="Times New Roman" w:hAnsi="Times New Roman" w:cs="Times New Roman"/>
          <w:i/>
          <w:iCs/>
          <w:sz w:val="24"/>
          <w:szCs w:val="24"/>
        </w:rPr>
        <w:t xml:space="preserve"> </w:t>
      </w:r>
      <w:r w:rsidR="004F552E" w:rsidRPr="00B14ED8">
        <w:rPr>
          <w:rFonts w:ascii="Times New Roman" w:eastAsia="Times New Roman" w:hAnsi="Times New Roman" w:cs="Times New Roman"/>
          <w:sz w:val="24"/>
          <w:szCs w:val="24"/>
        </w:rPr>
        <w:t>(</w:t>
      </w:r>
      <w:proofErr w:type="spellStart"/>
      <w:r w:rsidR="004F552E" w:rsidRPr="00B14ED8">
        <w:rPr>
          <w:rFonts w:ascii="Times New Roman" w:eastAsia="Times New Roman" w:hAnsi="Times New Roman" w:cs="Times New Roman"/>
          <w:sz w:val="24"/>
          <w:szCs w:val="24"/>
        </w:rPr>
        <w:t>Ketua</w:t>
      </w:r>
      <w:proofErr w:type="spellEnd"/>
      <w:r w:rsidR="004F552E" w:rsidRPr="00B14ED8">
        <w:rPr>
          <w:rFonts w:ascii="Times New Roman" w:eastAsia="Times New Roman" w:hAnsi="Times New Roman" w:cs="Times New Roman"/>
          <w:sz w:val="24"/>
          <w:szCs w:val="24"/>
        </w:rPr>
        <w:t xml:space="preserve"> </w:t>
      </w:r>
      <w:proofErr w:type="spellStart"/>
      <w:r w:rsidR="004F552E" w:rsidRPr="00B14ED8">
        <w:rPr>
          <w:rFonts w:ascii="Times New Roman" w:eastAsia="Times New Roman" w:hAnsi="Times New Roman" w:cs="Times New Roman"/>
          <w:sz w:val="24"/>
          <w:szCs w:val="24"/>
        </w:rPr>
        <w:t>Pengelola</w:t>
      </w:r>
      <w:proofErr w:type="spellEnd"/>
      <w:r w:rsidR="004F552E" w:rsidRPr="00B14ED8">
        <w:rPr>
          <w:rFonts w:ascii="Times New Roman" w:eastAsia="Times New Roman" w:hAnsi="Times New Roman" w:cs="Times New Roman"/>
          <w:sz w:val="24"/>
          <w:szCs w:val="24"/>
        </w:rPr>
        <w:t xml:space="preserve"> </w:t>
      </w:r>
      <w:proofErr w:type="spellStart"/>
      <w:r w:rsidR="004F552E" w:rsidRPr="00B14ED8">
        <w:rPr>
          <w:rFonts w:ascii="Times New Roman" w:eastAsia="Times New Roman" w:hAnsi="Times New Roman" w:cs="Times New Roman"/>
          <w:sz w:val="24"/>
          <w:szCs w:val="24"/>
        </w:rPr>
        <w:t>Manajemen</w:t>
      </w:r>
      <w:proofErr w:type="spellEnd"/>
      <w:r w:rsidR="004F552E" w:rsidRPr="00B14ED8">
        <w:rPr>
          <w:rFonts w:ascii="Times New Roman" w:eastAsia="Times New Roman" w:hAnsi="Times New Roman" w:cs="Times New Roman"/>
          <w:sz w:val="24"/>
          <w:szCs w:val="24"/>
        </w:rPr>
        <w:t xml:space="preserve"> </w:t>
      </w:r>
      <w:proofErr w:type="spellStart"/>
      <w:r w:rsidR="004F552E" w:rsidRPr="00B14ED8">
        <w:rPr>
          <w:rFonts w:ascii="Times New Roman" w:eastAsia="Times New Roman" w:hAnsi="Times New Roman" w:cs="Times New Roman"/>
          <w:sz w:val="24"/>
          <w:szCs w:val="24"/>
        </w:rPr>
        <w:t>Risiko</w:t>
      </w:r>
      <w:proofErr w:type="spellEnd"/>
      <w:r w:rsidR="004F552E" w:rsidRPr="00B14ED8">
        <w:rPr>
          <w:rFonts w:ascii="Times New Roman" w:eastAsia="Times New Roman" w:hAnsi="Times New Roman" w:cs="Times New Roman"/>
          <w:sz w:val="24"/>
          <w:szCs w:val="24"/>
        </w:rPr>
        <w:t>)</w:t>
      </w:r>
    </w:p>
    <w:p w14:paraId="71B41674" w14:textId="2AA2DB39" w:rsidR="002446A4" w:rsidRPr="00B14ED8" w:rsidRDefault="007A4316" w:rsidP="00B14ED8">
      <w:pPr>
        <w:pStyle w:val="ListParagraph"/>
        <w:numPr>
          <w:ilvl w:val="0"/>
          <w:numId w:val="12"/>
        </w:numPr>
        <w:spacing w:after="0" w:line="360" w:lineRule="auto"/>
        <w:ind w:left="993" w:hanging="426"/>
        <w:jc w:val="both"/>
        <w:rPr>
          <w:rFonts w:ascii="Times New Roman" w:eastAsia="Times New Roman" w:hAnsi="Times New Roman" w:cs="Times New Roman"/>
          <w:i/>
          <w:iCs/>
          <w:sz w:val="24"/>
          <w:szCs w:val="24"/>
        </w:rPr>
      </w:pPr>
      <w:r w:rsidRPr="00B14ED8">
        <w:rPr>
          <w:rFonts w:ascii="Times New Roman" w:eastAsia="Times New Roman" w:hAnsi="Times New Roman" w:cs="Times New Roman"/>
          <w:i/>
          <w:iCs/>
          <w:sz w:val="24"/>
          <w:szCs w:val="24"/>
        </w:rPr>
        <w:t>Risk Management Committee</w:t>
      </w:r>
      <w:r w:rsidR="000F3F7C" w:rsidRPr="00B14ED8">
        <w:rPr>
          <w:rFonts w:ascii="Times New Roman" w:eastAsia="Times New Roman" w:hAnsi="Times New Roman" w:cs="Times New Roman"/>
          <w:i/>
          <w:iCs/>
          <w:sz w:val="24"/>
          <w:szCs w:val="24"/>
        </w:rPr>
        <w:t xml:space="preserve"> </w:t>
      </w:r>
      <w:r w:rsidR="000F3F7C" w:rsidRPr="00B14ED8">
        <w:rPr>
          <w:rFonts w:ascii="Times New Roman" w:eastAsia="Times New Roman" w:hAnsi="Times New Roman" w:cs="Times New Roman"/>
          <w:sz w:val="24"/>
          <w:szCs w:val="24"/>
        </w:rPr>
        <w:t>(</w:t>
      </w:r>
      <w:proofErr w:type="spellStart"/>
      <w:r w:rsidR="000F3F7C" w:rsidRPr="00B14ED8">
        <w:rPr>
          <w:rFonts w:ascii="Times New Roman" w:eastAsia="Times New Roman" w:hAnsi="Times New Roman" w:cs="Times New Roman"/>
          <w:sz w:val="24"/>
          <w:szCs w:val="24"/>
        </w:rPr>
        <w:t>Komite</w:t>
      </w:r>
      <w:proofErr w:type="spellEnd"/>
      <w:r w:rsidR="000F3F7C" w:rsidRPr="00B14ED8">
        <w:rPr>
          <w:rFonts w:ascii="Times New Roman" w:eastAsia="Times New Roman" w:hAnsi="Times New Roman" w:cs="Times New Roman"/>
          <w:sz w:val="24"/>
          <w:szCs w:val="24"/>
        </w:rPr>
        <w:t xml:space="preserve"> </w:t>
      </w:r>
      <w:proofErr w:type="spellStart"/>
      <w:r w:rsidR="000F3F7C" w:rsidRPr="00B14ED8">
        <w:rPr>
          <w:rFonts w:ascii="Times New Roman" w:eastAsia="Times New Roman" w:hAnsi="Times New Roman" w:cs="Times New Roman"/>
          <w:sz w:val="24"/>
          <w:szCs w:val="24"/>
        </w:rPr>
        <w:t>Manajemen</w:t>
      </w:r>
      <w:proofErr w:type="spellEnd"/>
      <w:r w:rsidR="000F3F7C" w:rsidRPr="00B14ED8">
        <w:rPr>
          <w:rFonts w:ascii="Times New Roman" w:eastAsia="Times New Roman" w:hAnsi="Times New Roman" w:cs="Times New Roman"/>
          <w:sz w:val="24"/>
          <w:szCs w:val="24"/>
        </w:rPr>
        <w:t xml:space="preserve"> </w:t>
      </w:r>
      <w:proofErr w:type="spellStart"/>
      <w:r w:rsidR="000F3F7C" w:rsidRPr="00B14ED8">
        <w:rPr>
          <w:rFonts w:ascii="Times New Roman" w:eastAsia="Times New Roman" w:hAnsi="Times New Roman" w:cs="Times New Roman"/>
          <w:sz w:val="24"/>
          <w:szCs w:val="24"/>
        </w:rPr>
        <w:t>Risiko</w:t>
      </w:r>
      <w:proofErr w:type="spellEnd"/>
      <w:r w:rsidR="000F3F7C" w:rsidRPr="00B14ED8">
        <w:rPr>
          <w:rFonts w:ascii="Times New Roman" w:eastAsia="Times New Roman" w:hAnsi="Times New Roman" w:cs="Times New Roman"/>
          <w:sz w:val="24"/>
          <w:szCs w:val="24"/>
        </w:rPr>
        <w:t>)</w:t>
      </w:r>
    </w:p>
    <w:p w14:paraId="2D903DA2" w14:textId="0202AC02" w:rsidR="002446A4" w:rsidRPr="00B14ED8" w:rsidRDefault="007A4316" w:rsidP="00B14ED8">
      <w:pPr>
        <w:pStyle w:val="ListParagraph"/>
        <w:numPr>
          <w:ilvl w:val="0"/>
          <w:numId w:val="12"/>
        </w:numPr>
        <w:spacing w:after="0" w:line="360" w:lineRule="auto"/>
        <w:ind w:left="993" w:hanging="426"/>
        <w:jc w:val="both"/>
        <w:rPr>
          <w:rFonts w:ascii="Times New Roman" w:eastAsia="Times New Roman" w:hAnsi="Times New Roman" w:cs="Times New Roman"/>
          <w:sz w:val="24"/>
          <w:szCs w:val="24"/>
        </w:rPr>
      </w:pPr>
      <w:r w:rsidRPr="00B14ED8">
        <w:rPr>
          <w:rFonts w:ascii="Times New Roman" w:eastAsia="Times New Roman" w:hAnsi="Times New Roman" w:cs="Times New Roman"/>
          <w:i/>
          <w:iCs/>
          <w:sz w:val="24"/>
          <w:szCs w:val="24"/>
        </w:rPr>
        <w:t>Risk Committee</w:t>
      </w:r>
      <w:r w:rsidR="00144B55" w:rsidRPr="00B14ED8">
        <w:rPr>
          <w:rFonts w:ascii="Times New Roman" w:eastAsia="Times New Roman" w:hAnsi="Times New Roman" w:cs="Times New Roman"/>
          <w:sz w:val="24"/>
          <w:szCs w:val="24"/>
        </w:rPr>
        <w:t xml:space="preserve"> (</w:t>
      </w:r>
      <w:proofErr w:type="spellStart"/>
      <w:r w:rsidR="00144B55" w:rsidRPr="00B14ED8">
        <w:rPr>
          <w:rFonts w:ascii="Times New Roman" w:eastAsia="Times New Roman" w:hAnsi="Times New Roman" w:cs="Times New Roman"/>
          <w:sz w:val="24"/>
          <w:szCs w:val="24"/>
        </w:rPr>
        <w:t>Komite</w:t>
      </w:r>
      <w:proofErr w:type="spellEnd"/>
      <w:r w:rsidR="00144B55" w:rsidRPr="00B14ED8">
        <w:rPr>
          <w:rFonts w:ascii="Times New Roman" w:eastAsia="Times New Roman" w:hAnsi="Times New Roman" w:cs="Times New Roman"/>
          <w:sz w:val="24"/>
          <w:szCs w:val="24"/>
        </w:rPr>
        <w:t xml:space="preserve"> </w:t>
      </w:r>
      <w:proofErr w:type="spellStart"/>
      <w:r w:rsidR="00144B55" w:rsidRPr="00B14ED8">
        <w:rPr>
          <w:rFonts w:ascii="Times New Roman" w:eastAsia="Times New Roman" w:hAnsi="Times New Roman" w:cs="Times New Roman"/>
          <w:sz w:val="24"/>
          <w:szCs w:val="24"/>
        </w:rPr>
        <w:t>Risiko</w:t>
      </w:r>
      <w:proofErr w:type="spellEnd"/>
      <w:r w:rsidR="00144B55" w:rsidRPr="00B14ED8">
        <w:rPr>
          <w:rFonts w:ascii="Times New Roman" w:eastAsia="Times New Roman" w:hAnsi="Times New Roman" w:cs="Times New Roman"/>
          <w:sz w:val="24"/>
          <w:szCs w:val="24"/>
        </w:rPr>
        <w:t xml:space="preserve"> Usaha)</w:t>
      </w:r>
    </w:p>
    <w:p w14:paraId="0693D7F8" w14:textId="1666F381" w:rsidR="002446A4" w:rsidRPr="00B14ED8" w:rsidRDefault="007A4316" w:rsidP="00B14ED8">
      <w:pPr>
        <w:pStyle w:val="ListParagraph"/>
        <w:numPr>
          <w:ilvl w:val="0"/>
          <w:numId w:val="12"/>
        </w:numPr>
        <w:spacing w:after="0" w:line="360" w:lineRule="auto"/>
        <w:ind w:left="993" w:hanging="426"/>
        <w:jc w:val="both"/>
        <w:rPr>
          <w:rFonts w:ascii="Times New Roman" w:eastAsia="Times New Roman" w:hAnsi="Times New Roman" w:cs="Times New Roman"/>
          <w:sz w:val="24"/>
          <w:szCs w:val="24"/>
        </w:rPr>
      </w:pPr>
      <w:r w:rsidRPr="00B14ED8">
        <w:rPr>
          <w:rFonts w:ascii="Times New Roman" w:eastAsia="Times New Roman" w:hAnsi="Times New Roman" w:cs="Times New Roman"/>
          <w:i/>
          <w:iCs/>
          <w:sz w:val="24"/>
          <w:szCs w:val="24"/>
        </w:rPr>
        <w:t>Strategic Risk Management</w:t>
      </w:r>
      <w:r w:rsidR="00C35177" w:rsidRPr="00B14ED8">
        <w:rPr>
          <w:rFonts w:ascii="Times New Roman" w:eastAsia="Times New Roman" w:hAnsi="Times New Roman" w:cs="Times New Roman"/>
          <w:sz w:val="24"/>
          <w:szCs w:val="24"/>
        </w:rPr>
        <w:t xml:space="preserve"> (</w:t>
      </w:r>
      <w:proofErr w:type="spellStart"/>
      <w:r w:rsidR="00C35177" w:rsidRPr="00B14ED8">
        <w:rPr>
          <w:rFonts w:ascii="Times New Roman" w:eastAsia="Times New Roman" w:hAnsi="Times New Roman" w:cs="Times New Roman"/>
          <w:sz w:val="24"/>
          <w:szCs w:val="24"/>
        </w:rPr>
        <w:t>Manajemen</w:t>
      </w:r>
      <w:proofErr w:type="spellEnd"/>
      <w:r w:rsidR="00C35177" w:rsidRPr="00B14ED8">
        <w:rPr>
          <w:rFonts w:ascii="Times New Roman" w:eastAsia="Times New Roman" w:hAnsi="Times New Roman" w:cs="Times New Roman"/>
          <w:sz w:val="24"/>
          <w:szCs w:val="24"/>
        </w:rPr>
        <w:t xml:space="preserve"> </w:t>
      </w:r>
      <w:proofErr w:type="spellStart"/>
      <w:r w:rsidR="00C35177" w:rsidRPr="00B14ED8">
        <w:rPr>
          <w:rFonts w:ascii="Times New Roman" w:eastAsia="Times New Roman" w:hAnsi="Times New Roman" w:cs="Times New Roman"/>
          <w:sz w:val="24"/>
          <w:szCs w:val="24"/>
        </w:rPr>
        <w:t>Risiko</w:t>
      </w:r>
      <w:proofErr w:type="spellEnd"/>
      <w:r w:rsidR="00C35177" w:rsidRPr="00B14ED8">
        <w:rPr>
          <w:rFonts w:ascii="Times New Roman" w:eastAsia="Times New Roman" w:hAnsi="Times New Roman" w:cs="Times New Roman"/>
          <w:sz w:val="24"/>
          <w:szCs w:val="24"/>
        </w:rPr>
        <w:t xml:space="preserve"> </w:t>
      </w:r>
      <w:proofErr w:type="spellStart"/>
      <w:r w:rsidR="00C35177" w:rsidRPr="00B14ED8">
        <w:rPr>
          <w:rFonts w:ascii="Times New Roman" w:eastAsia="Times New Roman" w:hAnsi="Times New Roman" w:cs="Times New Roman"/>
          <w:sz w:val="24"/>
          <w:szCs w:val="24"/>
        </w:rPr>
        <w:t>Strategis</w:t>
      </w:r>
      <w:proofErr w:type="spellEnd"/>
      <w:r w:rsidR="00C35177" w:rsidRPr="00B14ED8">
        <w:rPr>
          <w:rFonts w:ascii="Times New Roman" w:eastAsia="Times New Roman" w:hAnsi="Times New Roman" w:cs="Times New Roman"/>
          <w:sz w:val="24"/>
          <w:szCs w:val="24"/>
        </w:rPr>
        <w:t>)</w:t>
      </w:r>
    </w:p>
    <w:p w14:paraId="56622540" w14:textId="21030455" w:rsidR="002446A4" w:rsidRPr="00B14ED8" w:rsidRDefault="007A4316" w:rsidP="00B14ED8">
      <w:pPr>
        <w:pStyle w:val="ListParagraph"/>
        <w:numPr>
          <w:ilvl w:val="0"/>
          <w:numId w:val="12"/>
        </w:numPr>
        <w:spacing w:after="0" w:line="360" w:lineRule="auto"/>
        <w:ind w:left="993" w:hanging="426"/>
        <w:jc w:val="both"/>
        <w:rPr>
          <w:rFonts w:ascii="Times New Roman" w:eastAsia="Times New Roman" w:hAnsi="Times New Roman" w:cs="Times New Roman"/>
          <w:sz w:val="24"/>
          <w:szCs w:val="24"/>
        </w:rPr>
      </w:pPr>
      <w:r w:rsidRPr="00B14ED8">
        <w:rPr>
          <w:rFonts w:ascii="Times New Roman" w:eastAsia="Times New Roman" w:hAnsi="Times New Roman" w:cs="Times New Roman"/>
          <w:i/>
          <w:iCs/>
          <w:sz w:val="24"/>
          <w:szCs w:val="24"/>
        </w:rPr>
        <w:t>Consolidated Risk Management</w:t>
      </w:r>
      <w:r w:rsidR="00C35177" w:rsidRPr="00B14ED8">
        <w:rPr>
          <w:rFonts w:ascii="Times New Roman" w:eastAsia="Times New Roman" w:hAnsi="Times New Roman" w:cs="Times New Roman"/>
          <w:sz w:val="24"/>
          <w:szCs w:val="24"/>
        </w:rPr>
        <w:t xml:space="preserve"> (</w:t>
      </w:r>
      <w:proofErr w:type="spellStart"/>
      <w:r w:rsidR="00C35177" w:rsidRPr="00B14ED8">
        <w:rPr>
          <w:rFonts w:ascii="Times New Roman" w:eastAsia="Times New Roman" w:hAnsi="Times New Roman" w:cs="Times New Roman"/>
          <w:sz w:val="24"/>
          <w:szCs w:val="24"/>
        </w:rPr>
        <w:t>Manajemen</w:t>
      </w:r>
      <w:proofErr w:type="spellEnd"/>
      <w:r w:rsidR="00C35177" w:rsidRPr="00B14ED8">
        <w:rPr>
          <w:rFonts w:ascii="Times New Roman" w:eastAsia="Times New Roman" w:hAnsi="Times New Roman" w:cs="Times New Roman"/>
          <w:sz w:val="24"/>
          <w:szCs w:val="24"/>
        </w:rPr>
        <w:t xml:space="preserve"> </w:t>
      </w:r>
      <w:proofErr w:type="spellStart"/>
      <w:r w:rsidR="00C35177" w:rsidRPr="00B14ED8">
        <w:rPr>
          <w:rFonts w:ascii="Times New Roman" w:eastAsia="Times New Roman" w:hAnsi="Times New Roman" w:cs="Times New Roman"/>
          <w:sz w:val="24"/>
          <w:szCs w:val="24"/>
        </w:rPr>
        <w:t>Risiko</w:t>
      </w:r>
      <w:proofErr w:type="spellEnd"/>
      <w:r w:rsidR="00C35177" w:rsidRPr="00B14ED8">
        <w:rPr>
          <w:rFonts w:ascii="Times New Roman" w:eastAsia="Times New Roman" w:hAnsi="Times New Roman" w:cs="Times New Roman"/>
          <w:sz w:val="24"/>
          <w:szCs w:val="24"/>
        </w:rPr>
        <w:t xml:space="preserve"> </w:t>
      </w:r>
      <w:proofErr w:type="spellStart"/>
      <w:r w:rsidR="00C35177" w:rsidRPr="00B14ED8">
        <w:rPr>
          <w:rFonts w:ascii="Times New Roman" w:eastAsia="Times New Roman" w:hAnsi="Times New Roman" w:cs="Times New Roman"/>
          <w:sz w:val="24"/>
          <w:szCs w:val="24"/>
        </w:rPr>
        <w:t>Terkonsolidasi</w:t>
      </w:r>
      <w:proofErr w:type="spellEnd"/>
      <w:r w:rsidR="00C35177" w:rsidRPr="00B14ED8">
        <w:rPr>
          <w:rFonts w:ascii="Times New Roman" w:eastAsia="Times New Roman" w:hAnsi="Times New Roman" w:cs="Times New Roman"/>
          <w:sz w:val="24"/>
          <w:szCs w:val="24"/>
        </w:rPr>
        <w:t>)</w:t>
      </w:r>
    </w:p>
    <w:p w14:paraId="523D710D" w14:textId="2B1CA5F9" w:rsidR="002446A4" w:rsidRPr="00B14ED8" w:rsidRDefault="007A4316" w:rsidP="00B14ED8">
      <w:pPr>
        <w:pStyle w:val="ListParagraph"/>
        <w:numPr>
          <w:ilvl w:val="0"/>
          <w:numId w:val="12"/>
        </w:numPr>
        <w:spacing w:after="0" w:line="360" w:lineRule="auto"/>
        <w:ind w:left="993" w:hanging="426"/>
        <w:jc w:val="both"/>
        <w:rPr>
          <w:rFonts w:ascii="Times New Roman" w:eastAsia="Times New Roman" w:hAnsi="Times New Roman" w:cs="Times New Roman"/>
          <w:sz w:val="24"/>
          <w:szCs w:val="24"/>
        </w:rPr>
      </w:pPr>
      <w:r w:rsidRPr="00B14ED8">
        <w:rPr>
          <w:rFonts w:ascii="Times New Roman" w:eastAsia="Times New Roman" w:hAnsi="Times New Roman" w:cs="Times New Roman"/>
          <w:i/>
          <w:iCs/>
          <w:sz w:val="24"/>
          <w:szCs w:val="24"/>
        </w:rPr>
        <w:t>Holistic Risk Management</w:t>
      </w:r>
      <w:r w:rsidR="00C35177" w:rsidRPr="00B14ED8">
        <w:rPr>
          <w:rFonts w:ascii="Times New Roman" w:eastAsia="Times New Roman" w:hAnsi="Times New Roman" w:cs="Times New Roman"/>
          <w:sz w:val="24"/>
          <w:szCs w:val="24"/>
        </w:rPr>
        <w:t xml:space="preserve"> (</w:t>
      </w:r>
      <w:proofErr w:type="spellStart"/>
      <w:r w:rsidR="00C35177" w:rsidRPr="00B14ED8">
        <w:rPr>
          <w:rFonts w:ascii="Times New Roman" w:eastAsia="Times New Roman" w:hAnsi="Times New Roman" w:cs="Times New Roman"/>
          <w:sz w:val="24"/>
          <w:szCs w:val="24"/>
        </w:rPr>
        <w:t>Manajemen</w:t>
      </w:r>
      <w:proofErr w:type="spellEnd"/>
      <w:r w:rsidR="00C35177" w:rsidRPr="00B14ED8">
        <w:rPr>
          <w:rFonts w:ascii="Times New Roman" w:eastAsia="Times New Roman" w:hAnsi="Times New Roman" w:cs="Times New Roman"/>
          <w:sz w:val="24"/>
          <w:szCs w:val="24"/>
        </w:rPr>
        <w:t xml:space="preserve"> </w:t>
      </w:r>
      <w:proofErr w:type="spellStart"/>
      <w:r w:rsidR="00C35177" w:rsidRPr="00B14ED8">
        <w:rPr>
          <w:rFonts w:ascii="Times New Roman" w:eastAsia="Times New Roman" w:hAnsi="Times New Roman" w:cs="Times New Roman"/>
          <w:sz w:val="24"/>
          <w:szCs w:val="24"/>
        </w:rPr>
        <w:t>Risiko</w:t>
      </w:r>
      <w:proofErr w:type="spellEnd"/>
      <w:r w:rsidR="00C35177" w:rsidRPr="00B14ED8">
        <w:rPr>
          <w:rFonts w:ascii="Times New Roman" w:eastAsia="Times New Roman" w:hAnsi="Times New Roman" w:cs="Times New Roman"/>
          <w:sz w:val="24"/>
          <w:szCs w:val="24"/>
        </w:rPr>
        <w:t xml:space="preserve"> </w:t>
      </w:r>
      <w:proofErr w:type="spellStart"/>
      <w:r w:rsidR="00C35177" w:rsidRPr="00B14ED8">
        <w:rPr>
          <w:rFonts w:ascii="Times New Roman" w:eastAsia="Times New Roman" w:hAnsi="Times New Roman" w:cs="Times New Roman"/>
          <w:sz w:val="24"/>
          <w:szCs w:val="24"/>
        </w:rPr>
        <w:t>Holistik</w:t>
      </w:r>
      <w:proofErr w:type="spellEnd"/>
      <w:r w:rsidR="00C35177" w:rsidRPr="00B14ED8">
        <w:rPr>
          <w:rFonts w:ascii="Times New Roman" w:eastAsia="Times New Roman" w:hAnsi="Times New Roman" w:cs="Times New Roman"/>
          <w:sz w:val="24"/>
          <w:szCs w:val="24"/>
        </w:rPr>
        <w:t>)</w:t>
      </w:r>
    </w:p>
    <w:p w14:paraId="7CB0B85E" w14:textId="38F2D7B7" w:rsidR="002446A4" w:rsidRPr="00B14ED8" w:rsidRDefault="007A4316" w:rsidP="00B14ED8">
      <w:pPr>
        <w:pStyle w:val="ListParagraph"/>
        <w:numPr>
          <w:ilvl w:val="0"/>
          <w:numId w:val="12"/>
        </w:numPr>
        <w:spacing w:after="0" w:line="360" w:lineRule="auto"/>
        <w:ind w:left="993" w:hanging="426"/>
        <w:jc w:val="both"/>
        <w:rPr>
          <w:rFonts w:ascii="Times New Roman" w:eastAsia="Times New Roman" w:hAnsi="Times New Roman" w:cs="Times New Roman"/>
          <w:sz w:val="24"/>
          <w:szCs w:val="24"/>
        </w:rPr>
      </w:pPr>
      <w:r w:rsidRPr="00B14ED8">
        <w:rPr>
          <w:rFonts w:ascii="Times New Roman" w:eastAsia="Times New Roman" w:hAnsi="Times New Roman" w:cs="Times New Roman"/>
          <w:i/>
          <w:iCs/>
          <w:sz w:val="24"/>
          <w:szCs w:val="24"/>
        </w:rPr>
        <w:t>Integrated Risk Management</w:t>
      </w:r>
      <w:r w:rsidR="00C35177" w:rsidRPr="00B14ED8">
        <w:rPr>
          <w:rFonts w:ascii="Times New Roman" w:eastAsia="Times New Roman" w:hAnsi="Times New Roman" w:cs="Times New Roman"/>
          <w:sz w:val="24"/>
          <w:szCs w:val="24"/>
        </w:rPr>
        <w:t xml:space="preserve"> (</w:t>
      </w:r>
      <w:proofErr w:type="spellStart"/>
      <w:r w:rsidR="00C35177" w:rsidRPr="00B14ED8">
        <w:rPr>
          <w:rFonts w:ascii="Times New Roman" w:eastAsia="Times New Roman" w:hAnsi="Times New Roman" w:cs="Times New Roman"/>
          <w:sz w:val="24"/>
          <w:szCs w:val="24"/>
        </w:rPr>
        <w:t>Manajemen</w:t>
      </w:r>
      <w:proofErr w:type="spellEnd"/>
      <w:r w:rsidR="00C35177" w:rsidRPr="00B14ED8">
        <w:rPr>
          <w:rFonts w:ascii="Times New Roman" w:eastAsia="Times New Roman" w:hAnsi="Times New Roman" w:cs="Times New Roman"/>
          <w:sz w:val="24"/>
          <w:szCs w:val="24"/>
        </w:rPr>
        <w:t xml:space="preserve"> </w:t>
      </w:r>
      <w:proofErr w:type="spellStart"/>
      <w:r w:rsidR="00C35177" w:rsidRPr="00B14ED8">
        <w:rPr>
          <w:rFonts w:ascii="Times New Roman" w:eastAsia="Times New Roman" w:hAnsi="Times New Roman" w:cs="Times New Roman"/>
          <w:sz w:val="24"/>
          <w:szCs w:val="24"/>
        </w:rPr>
        <w:t>Risiko</w:t>
      </w:r>
      <w:proofErr w:type="spellEnd"/>
      <w:r w:rsidR="00C35177" w:rsidRPr="00B14ED8">
        <w:rPr>
          <w:rFonts w:ascii="Times New Roman" w:eastAsia="Times New Roman" w:hAnsi="Times New Roman" w:cs="Times New Roman"/>
          <w:sz w:val="24"/>
          <w:szCs w:val="24"/>
        </w:rPr>
        <w:t xml:space="preserve"> </w:t>
      </w:r>
      <w:proofErr w:type="spellStart"/>
      <w:r w:rsidR="00C35177" w:rsidRPr="00B14ED8">
        <w:rPr>
          <w:rFonts w:ascii="Times New Roman" w:eastAsia="Times New Roman" w:hAnsi="Times New Roman" w:cs="Times New Roman"/>
          <w:sz w:val="24"/>
          <w:szCs w:val="24"/>
        </w:rPr>
        <w:t>Terintegrasi</w:t>
      </w:r>
      <w:proofErr w:type="spellEnd"/>
      <w:r w:rsidR="00C35177" w:rsidRPr="00B14ED8">
        <w:rPr>
          <w:rFonts w:ascii="Times New Roman" w:eastAsia="Times New Roman" w:hAnsi="Times New Roman" w:cs="Times New Roman"/>
          <w:sz w:val="24"/>
          <w:szCs w:val="24"/>
        </w:rPr>
        <w:t>)</w:t>
      </w:r>
    </w:p>
    <w:p w14:paraId="7173CDBF" w14:textId="5B84C085" w:rsidR="007A4316" w:rsidRPr="00B14ED8" w:rsidRDefault="002446A4" w:rsidP="00B14ED8">
      <w:pPr>
        <w:pStyle w:val="ListParagraph"/>
        <w:spacing w:after="0" w:line="360" w:lineRule="auto"/>
        <w:ind w:left="0" w:firstLine="567"/>
        <w:jc w:val="both"/>
        <w:rPr>
          <w:rFonts w:ascii="Times New Roman" w:eastAsia="Times New Roman" w:hAnsi="Times New Roman" w:cs="Times New Roman"/>
          <w:sz w:val="24"/>
          <w:szCs w:val="24"/>
        </w:rPr>
      </w:pPr>
      <w:proofErr w:type="spellStart"/>
      <w:r w:rsidRPr="00B14ED8">
        <w:rPr>
          <w:rFonts w:ascii="Times New Roman" w:eastAsia="Times New Roman" w:hAnsi="Times New Roman" w:cs="Times New Roman"/>
          <w:sz w:val="24"/>
          <w:szCs w:val="24"/>
        </w:rPr>
        <w:t>Manajemen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risiko</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perusahaan</w:t>
      </w:r>
      <w:proofErr w:type="spellEnd"/>
      <w:r w:rsidRPr="00B14ED8">
        <w:rPr>
          <w:rFonts w:ascii="Times New Roman" w:eastAsia="Times New Roman" w:hAnsi="Times New Roman" w:cs="Times New Roman"/>
          <w:sz w:val="24"/>
          <w:szCs w:val="24"/>
        </w:rPr>
        <w:t xml:space="preserve"> </w:t>
      </w:r>
      <w:proofErr w:type="spellStart"/>
      <w:r w:rsidR="007A4316" w:rsidRPr="00B14ED8">
        <w:rPr>
          <w:rFonts w:ascii="Times New Roman" w:eastAsia="Times New Roman" w:hAnsi="Times New Roman" w:cs="Times New Roman"/>
          <w:sz w:val="24"/>
          <w:szCs w:val="24"/>
        </w:rPr>
        <w:t>diukur</w:t>
      </w:r>
      <w:proofErr w:type="spellEnd"/>
      <w:r w:rsidR="007A4316" w:rsidRPr="00B14ED8">
        <w:rPr>
          <w:rFonts w:ascii="Times New Roman" w:eastAsia="Times New Roman" w:hAnsi="Times New Roman" w:cs="Times New Roman"/>
          <w:sz w:val="24"/>
          <w:szCs w:val="24"/>
        </w:rPr>
        <w:t xml:space="preserve"> </w:t>
      </w:r>
      <w:proofErr w:type="spellStart"/>
      <w:r w:rsidR="007A4316" w:rsidRPr="00B14ED8">
        <w:rPr>
          <w:rFonts w:ascii="Times New Roman" w:eastAsia="Times New Roman" w:hAnsi="Times New Roman" w:cs="Times New Roman"/>
          <w:sz w:val="24"/>
          <w:szCs w:val="24"/>
        </w:rPr>
        <w:t>dengan</w:t>
      </w:r>
      <w:proofErr w:type="spellEnd"/>
      <w:r w:rsidR="007A4316" w:rsidRPr="00B14ED8">
        <w:rPr>
          <w:rFonts w:ascii="Times New Roman" w:eastAsia="Times New Roman" w:hAnsi="Times New Roman" w:cs="Times New Roman"/>
          <w:sz w:val="24"/>
          <w:szCs w:val="24"/>
        </w:rPr>
        <w:t xml:space="preserve"> </w:t>
      </w:r>
      <w:proofErr w:type="spellStart"/>
      <w:r w:rsidR="007A4316" w:rsidRPr="00B14ED8">
        <w:rPr>
          <w:rFonts w:ascii="Times New Roman" w:eastAsia="Times New Roman" w:hAnsi="Times New Roman" w:cs="Times New Roman"/>
          <w:sz w:val="24"/>
          <w:szCs w:val="24"/>
        </w:rPr>
        <w:t>variabel</w:t>
      </w:r>
      <w:proofErr w:type="spellEnd"/>
      <w:r w:rsidR="007A4316" w:rsidRPr="00B14ED8">
        <w:rPr>
          <w:rFonts w:ascii="Times New Roman" w:eastAsia="Times New Roman" w:hAnsi="Times New Roman" w:cs="Times New Roman"/>
          <w:sz w:val="24"/>
          <w:szCs w:val="24"/>
        </w:rPr>
        <w:t xml:space="preserve"> </w:t>
      </w:r>
      <w:r w:rsidR="007A4316" w:rsidRPr="00B14ED8">
        <w:rPr>
          <w:rFonts w:ascii="Times New Roman" w:eastAsia="Times New Roman" w:hAnsi="Times New Roman" w:cs="Times New Roman"/>
          <w:i/>
          <w:iCs/>
          <w:sz w:val="24"/>
          <w:szCs w:val="24"/>
        </w:rPr>
        <w:t>dummy</w:t>
      </w:r>
      <w:r w:rsidR="007A4316" w:rsidRPr="00B14ED8">
        <w:rPr>
          <w:rFonts w:ascii="Times New Roman" w:eastAsia="Times New Roman" w:hAnsi="Times New Roman" w:cs="Times New Roman"/>
          <w:sz w:val="24"/>
          <w:szCs w:val="24"/>
        </w:rPr>
        <w:t xml:space="preserve">, </w:t>
      </w:r>
      <w:proofErr w:type="spellStart"/>
      <w:r w:rsidR="007A4316" w:rsidRPr="00B14ED8">
        <w:rPr>
          <w:rFonts w:ascii="Times New Roman" w:eastAsia="Times New Roman" w:hAnsi="Times New Roman" w:cs="Times New Roman"/>
          <w:sz w:val="24"/>
          <w:szCs w:val="24"/>
        </w:rPr>
        <w:t>nilai</w:t>
      </w:r>
      <w:proofErr w:type="spellEnd"/>
      <w:r w:rsidR="007A4316" w:rsidRPr="00B14ED8">
        <w:rPr>
          <w:rFonts w:ascii="Times New Roman" w:eastAsia="Times New Roman" w:hAnsi="Times New Roman" w:cs="Times New Roman"/>
          <w:sz w:val="24"/>
          <w:szCs w:val="24"/>
        </w:rPr>
        <w:t xml:space="preserve"> 1 </w:t>
      </w:r>
      <w:proofErr w:type="spellStart"/>
      <w:r w:rsidR="007A4316" w:rsidRPr="00B14ED8">
        <w:rPr>
          <w:rFonts w:ascii="Times New Roman" w:eastAsia="Times New Roman" w:hAnsi="Times New Roman" w:cs="Times New Roman"/>
          <w:sz w:val="24"/>
          <w:szCs w:val="24"/>
        </w:rPr>
        <w:t>untuk</w:t>
      </w:r>
      <w:proofErr w:type="spellEnd"/>
      <w:r w:rsidR="007A4316" w:rsidRPr="00B14ED8">
        <w:rPr>
          <w:rFonts w:ascii="Times New Roman" w:eastAsia="Times New Roman" w:hAnsi="Times New Roman" w:cs="Times New Roman"/>
          <w:sz w:val="24"/>
          <w:szCs w:val="24"/>
        </w:rPr>
        <w:t xml:space="preserve"> </w:t>
      </w:r>
      <w:proofErr w:type="spellStart"/>
      <w:r w:rsidR="007A4316" w:rsidRPr="00B14ED8">
        <w:rPr>
          <w:rFonts w:ascii="Times New Roman" w:eastAsia="Times New Roman" w:hAnsi="Times New Roman" w:cs="Times New Roman"/>
          <w:sz w:val="24"/>
          <w:szCs w:val="24"/>
        </w:rPr>
        <w:t>perusahaan</w:t>
      </w:r>
      <w:proofErr w:type="spellEnd"/>
      <w:r w:rsidR="007A4316" w:rsidRPr="00B14ED8">
        <w:rPr>
          <w:rFonts w:ascii="Times New Roman" w:eastAsia="Times New Roman" w:hAnsi="Times New Roman" w:cs="Times New Roman"/>
          <w:sz w:val="24"/>
          <w:szCs w:val="24"/>
        </w:rPr>
        <w:t xml:space="preserve"> yang </w:t>
      </w:r>
      <w:proofErr w:type="spellStart"/>
      <w:r w:rsidR="007A4316" w:rsidRPr="00B14ED8">
        <w:rPr>
          <w:rFonts w:ascii="Times New Roman" w:eastAsia="Times New Roman" w:hAnsi="Times New Roman" w:cs="Times New Roman"/>
          <w:sz w:val="24"/>
          <w:szCs w:val="24"/>
        </w:rPr>
        <w:t>menerapkan</w:t>
      </w:r>
      <w:proofErr w:type="spellEnd"/>
      <w:r w:rsidR="007A4316" w:rsidRPr="00B14ED8">
        <w:rPr>
          <w:rFonts w:ascii="Times New Roman" w:eastAsia="Times New Roman" w:hAnsi="Times New Roman" w:cs="Times New Roman"/>
          <w:sz w:val="24"/>
          <w:szCs w:val="24"/>
        </w:rPr>
        <w:t xml:space="preserve"> dan 0 </w:t>
      </w:r>
      <w:proofErr w:type="spellStart"/>
      <w:r w:rsidR="007A4316" w:rsidRPr="00B14ED8">
        <w:rPr>
          <w:rFonts w:ascii="Times New Roman" w:eastAsia="Times New Roman" w:hAnsi="Times New Roman" w:cs="Times New Roman"/>
          <w:sz w:val="24"/>
          <w:szCs w:val="24"/>
        </w:rPr>
        <w:t>untuk</w:t>
      </w:r>
      <w:proofErr w:type="spellEnd"/>
      <w:r w:rsidR="007A4316" w:rsidRPr="00B14ED8">
        <w:rPr>
          <w:rFonts w:ascii="Times New Roman" w:eastAsia="Times New Roman" w:hAnsi="Times New Roman" w:cs="Times New Roman"/>
          <w:sz w:val="24"/>
          <w:szCs w:val="24"/>
        </w:rPr>
        <w:t xml:space="preserve"> yang </w:t>
      </w:r>
      <w:proofErr w:type="spellStart"/>
      <w:r w:rsidR="00097DA2" w:rsidRPr="00B14ED8">
        <w:rPr>
          <w:rFonts w:ascii="Times New Roman" w:eastAsia="Times New Roman" w:hAnsi="Times New Roman" w:cs="Times New Roman"/>
          <w:sz w:val="24"/>
          <w:szCs w:val="24"/>
        </w:rPr>
        <w:t>perusahaan</w:t>
      </w:r>
      <w:proofErr w:type="spellEnd"/>
      <w:r w:rsidR="00097DA2" w:rsidRPr="00B14ED8">
        <w:rPr>
          <w:rFonts w:ascii="Times New Roman" w:eastAsia="Times New Roman" w:hAnsi="Times New Roman" w:cs="Times New Roman"/>
          <w:sz w:val="24"/>
          <w:szCs w:val="24"/>
        </w:rPr>
        <w:t xml:space="preserve"> </w:t>
      </w:r>
      <w:r w:rsidR="006867C1" w:rsidRPr="00B14ED8">
        <w:rPr>
          <w:rFonts w:ascii="Times New Roman" w:eastAsia="Times New Roman" w:hAnsi="Times New Roman" w:cs="Times New Roman"/>
          <w:sz w:val="24"/>
          <w:szCs w:val="24"/>
        </w:rPr>
        <w:t xml:space="preserve">yang </w:t>
      </w:r>
      <w:proofErr w:type="spellStart"/>
      <w:r w:rsidR="0016024D" w:rsidRPr="00B14ED8">
        <w:rPr>
          <w:rFonts w:ascii="Times New Roman" w:eastAsia="Times New Roman" w:hAnsi="Times New Roman" w:cs="Times New Roman"/>
          <w:sz w:val="24"/>
          <w:szCs w:val="24"/>
        </w:rPr>
        <w:t>tidak</w:t>
      </w:r>
      <w:proofErr w:type="spellEnd"/>
      <w:r w:rsidR="0016024D" w:rsidRPr="00B14ED8">
        <w:rPr>
          <w:rFonts w:ascii="Times New Roman" w:eastAsia="Times New Roman" w:hAnsi="Times New Roman" w:cs="Times New Roman"/>
          <w:sz w:val="24"/>
          <w:szCs w:val="24"/>
        </w:rPr>
        <w:t xml:space="preserve"> </w:t>
      </w:r>
      <w:proofErr w:type="spellStart"/>
      <w:r w:rsidR="0016024D" w:rsidRPr="00B14ED8">
        <w:rPr>
          <w:rFonts w:ascii="Times New Roman" w:eastAsia="Times New Roman" w:hAnsi="Times New Roman" w:cs="Times New Roman"/>
          <w:sz w:val="24"/>
          <w:szCs w:val="24"/>
        </w:rPr>
        <w:t>menerap</w:t>
      </w:r>
      <w:r w:rsidR="00637ADD" w:rsidRPr="00B14ED8">
        <w:rPr>
          <w:rFonts w:ascii="Times New Roman" w:eastAsia="Times New Roman" w:hAnsi="Times New Roman" w:cs="Times New Roman"/>
          <w:sz w:val="24"/>
          <w:szCs w:val="24"/>
        </w:rPr>
        <w:t>kan</w:t>
      </w:r>
      <w:proofErr w:type="spellEnd"/>
      <w:r w:rsidR="00637ADD" w:rsidRPr="00B14ED8">
        <w:rPr>
          <w:rFonts w:ascii="Times New Roman" w:eastAsia="Times New Roman" w:hAnsi="Times New Roman" w:cs="Times New Roman"/>
          <w:sz w:val="24"/>
          <w:szCs w:val="24"/>
        </w:rPr>
        <w:t xml:space="preserve"> </w:t>
      </w:r>
      <w:proofErr w:type="spellStart"/>
      <w:r w:rsidR="00637ADD" w:rsidRPr="00B14ED8">
        <w:rPr>
          <w:rFonts w:ascii="Times New Roman" w:eastAsia="Times New Roman" w:hAnsi="Times New Roman" w:cs="Times New Roman"/>
          <w:sz w:val="24"/>
          <w:szCs w:val="24"/>
        </w:rPr>
        <w:t>manajemen</w:t>
      </w:r>
      <w:proofErr w:type="spellEnd"/>
      <w:r w:rsidR="00637ADD" w:rsidRPr="00B14ED8">
        <w:rPr>
          <w:rFonts w:ascii="Times New Roman" w:eastAsia="Times New Roman" w:hAnsi="Times New Roman" w:cs="Times New Roman"/>
          <w:sz w:val="24"/>
          <w:szCs w:val="24"/>
        </w:rPr>
        <w:t xml:space="preserve"> </w:t>
      </w:r>
      <w:proofErr w:type="spellStart"/>
      <w:r w:rsidR="00637ADD" w:rsidRPr="00B14ED8">
        <w:rPr>
          <w:rFonts w:ascii="Times New Roman" w:eastAsia="Times New Roman" w:hAnsi="Times New Roman" w:cs="Times New Roman"/>
          <w:sz w:val="24"/>
          <w:szCs w:val="24"/>
        </w:rPr>
        <w:t>risiko</w:t>
      </w:r>
      <w:proofErr w:type="spellEnd"/>
      <w:r w:rsidR="00637ADD" w:rsidRPr="00B14ED8">
        <w:rPr>
          <w:rFonts w:ascii="Times New Roman" w:eastAsia="Times New Roman" w:hAnsi="Times New Roman" w:cs="Times New Roman"/>
          <w:sz w:val="24"/>
          <w:szCs w:val="24"/>
        </w:rPr>
        <w:t xml:space="preserve"> </w:t>
      </w:r>
      <w:proofErr w:type="spellStart"/>
      <w:r w:rsidR="00637ADD" w:rsidRPr="00B14ED8">
        <w:rPr>
          <w:rFonts w:ascii="Times New Roman" w:eastAsia="Times New Roman" w:hAnsi="Times New Roman" w:cs="Times New Roman"/>
          <w:sz w:val="24"/>
          <w:szCs w:val="24"/>
        </w:rPr>
        <w:t>perusahaan</w:t>
      </w:r>
      <w:proofErr w:type="spellEnd"/>
      <w:r w:rsidR="00637ADD" w:rsidRPr="00B14ED8">
        <w:rPr>
          <w:rFonts w:ascii="Times New Roman" w:eastAsia="Times New Roman" w:hAnsi="Times New Roman" w:cs="Times New Roman"/>
          <w:sz w:val="24"/>
          <w:szCs w:val="24"/>
        </w:rPr>
        <w:t xml:space="preserve"> (</w:t>
      </w:r>
      <w:proofErr w:type="spellStart"/>
      <w:r w:rsidR="00637ADD" w:rsidRPr="00B14ED8">
        <w:rPr>
          <w:rFonts w:ascii="Times New Roman" w:eastAsia="Times New Roman" w:hAnsi="Times New Roman" w:cs="Times New Roman"/>
          <w:sz w:val="24"/>
          <w:szCs w:val="24"/>
        </w:rPr>
        <w:t>didasarkan</w:t>
      </w:r>
      <w:proofErr w:type="spellEnd"/>
      <w:r w:rsidR="00637ADD" w:rsidRPr="00B14ED8">
        <w:rPr>
          <w:rFonts w:ascii="Times New Roman" w:eastAsia="Times New Roman" w:hAnsi="Times New Roman" w:cs="Times New Roman"/>
          <w:sz w:val="24"/>
          <w:szCs w:val="24"/>
        </w:rPr>
        <w:t xml:space="preserve"> pada </w:t>
      </w:r>
      <w:proofErr w:type="spellStart"/>
      <w:r w:rsidR="00637ADD" w:rsidRPr="00B14ED8">
        <w:rPr>
          <w:rFonts w:ascii="Times New Roman" w:eastAsia="Times New Roman" w:hAnsi="Times New Roman" w:cs="Times New Roman"/>
          <w:sz w:val="24"/>
          <w:szCs w:val="24"/>
        </w:rPr>
        <w:t>pengungkapan</w:t>
      </w:r>
      <w:proofErr w:type="spellEnd"/>
      <w:r w:rsidR="00637ADD" w:rsidRPr="00B14ED8">
        <w:rPr>
          <w:rFonts w:ascii="Times New Roman" w:eastAsia="Times New Roman" w:hAnsi="Times New Roman" w:cs="Times New Roman"/>
          <w:sz w:val="24"/>
          <w:szCs w:val="24"/>
        </w:rPr>
        <w:t xml:space="preserve"> </w:t>
      </w:r>
      <w:proofErr w:type="spellStart"/>
      <w:r w:rsidR="00637ADD" w:rsidRPr="00B14ED8">
        <w:rPr>
          <w:rFonts w:ascii="Times New Roman" w:eastAsia="Times New Roman" w:hAnsi="Times New Roman" w:cs="Times New Roman"/>
          <w:sz w:val="24"/>
          <w:szCs w:val="24"/>
        </w:rPr>
        <w:t>frasa</w:t>
      </w:r>
      <w:proofErr w:type="spellEnd"/>
      <w:r w:rsidR="00637ADD" w:rsidRPr="00B14ED8">
        <w:rPr>
          <w:rFonts w:ascii="Times New Roman" w:eastAsia="Times New Roman" w:hAnsi="Times New Roman" w:cs="Times New Roman"/>
          <w:sz w:val="24"/>
          <w:szCs w:val="24"/>
        </w:rPr>
        <w:t xml:space="preserve"> </w:t>
      </w:r>
      <w:proofErr w:type="spellStart"/>
      <w:r w:rsidR="00637ADD" w:rsidRPr="00B14ED8">
        <w:rPr>
          <w:rFonts w:ascii="Times New Roman" w:eastAsia="Times New Roman" w:hAnsi="Times New Roman" w:cs="Times New Roman"/>
          <w:sz w:val="24"/>
          <w:szCs w:val="24"/>
        </w:rPr>
        <w:t>manajemen</w:t>
      </w:r>
      <w:proofErr w:type="spellEnd"/>
      <w:r w:rsidR="00637ADD" w:rsidRPr="00B14ED8">
        <w:rPr>
          <w:rFonts w:ascii="Times New Roman" w:eastAsia="Times New Roman" w:hAnsi="Times New Roman" w:cs="Times New Roman"/>
          <w:sz w:val="24"/>
          <w:szCs w:val="24"/>
        </w:rPr>
        <w:t xml:space="preserve"> </w:t>
      </w:r>
      <w:proofErr w:type="spellStart"/>
      <w:r w:rsidR="00637ADD" w:rsidRPr="00B14ED8">
        <w:rPr>
          <w:rFonts w:ascii="Times New Roman" w:eastAsia="Times New Roman" w:hAnsi="Times New Roman" w:cs="Times New Roman"/>
          <w:sz w:val="24"/>
          <w:szCs w:val="24"/>
        </w:rPr>
        <w:t>risiko</w:t>
      </w:r>
      <w:proofErr w:type="spellEnd"/>
      <w:r w:rsidR="00637ADD" w:rsidRPr="00B14ED8">
        <w:rPr>
          <w:rFonts w:ascii="Times New Roman" w:eastAsia="Times New Roman" w:hAnsi="Times New Roman" w:cs="Times New Roman"/>
          <w:sz w:val="24"/>
          <w:szCs w:val="24"/>
        </w:rPr>
        <w:t xml:space="preserve"> di </w:t>
      </w:r>
      <w:proofErr w:type="spellStart"/>
      <w:r w:rsidR="00637ADD" w:rsidRPr="00B14ED8">
        <w:rPr>
          <w:rFonts w:ascii="Times New Roman" w:eastAsia="Times New Roman" w:hAnsi="Times New Roman" w:cs="Times New Roman"/>
          <w:sz w:val="24"/>
          <w:szCs w:val="24"/>
        </w:rPr>
        <w:t>dalam</w:t>
      </w:r>
      <w:proofErr w:type="spellEnd"/>
      <w:r w:rsidR="00637ADD" w:rsidRPr="00B14ED8">
        <w:rPr>
          <w:rFonts w:ascii="Times New Roman" w:eastAsia="Times New Roman" w:hAnsi="Times New Roman" w:cs="Times New Roman"/>
          <w:sz w:val="24"/>
          <w:szCs w:val="24"/>
        </w:rPr>
        <w:t xml:space="preserve"> </w:t>
      </w:r>
      <w:proofErr w:type="spellStart"/>
      <w:r w:rsidR="00637ADD" w:rsidRPr="00B14ED8">
        <w:rPr>
          <w:rFonts w:ascii="Times New Roman" w:eastAsia="Times New Roman" w:hAnsi="Times New Roman" w:cs="Times New Roman"/>
          <w:sz w:val="24"/>
          <w:szCs w:val="24"/>
        </w:rPr>
        <w:t>laporan</w:t>
      </w:r>
      <w:proofErr w:type="spellEnd"/>
      <w:r w:rsidR="00637ADD" w:rsidRPr="00B14ED8">
        <w:rPr>
          <w:rFonts w:ascii="Times New Roman" w:eastAsia="Times New Roman" w:hAnsi="Times New Roman" w:cs="Times New Roman"/>
          <w:sz w:val="24"/>
          <w:szCs w:val="24"/>
        </w:rPr>
        <w:t xml:space="preserve"> </w:t>
      </w:r>
      <w:proofErr w:type="spellStart"/>
      <w:r w:rsidR="00637ADD" w:rsidRPr="00B14ED8">
        <w:rPr>
          <w:rFonts w:ascii="Times New Roman" w:eastAsia="Times New Roman" w:hAnsi="Times New Roman" w:cs="Times New Roman"/>
          <w:sz w:val="24"/>
          <w:szCs w:val="24"/>
        </w:rPr>
        <w:t>tahunan</w:t>
      </w:r>
      <w:proofErr w:type="spellEnd"/>
      <w:r w:rsidR="00637ADD" w:rsidRPr="00B14ED8">
        <w:rPr>
          <w:rFonts w:ascii="Times New Roman" w:eastAsia="Times New Roman" w:hAnsi="Times New Roman" w:cs="Times New Roman"/>
          <w:sz w:val="24"/>
          <w:szCs w:val="24"/>
        </w:rPr>
        <w:t xml:space="preserve"> </w:t>
      </w:r>
      <w:proofErr w:type="spellStart"/>
      <w:r w:rsidR="00637ADD" w:rsidRPr="00B14ED8">
        <w:rPr>
          <w:rFonts w:ascii="Times New Roman" w:eastAsia="Times New Roman" w:hAnsi="Times New Roman" w:cs="Times New Roman"/>
          <w:sz w:val="24"/>
          <w:szCs w:val="24"/>
        </w:rPr>
        <w:t>perusahaan</w:t>
      </w:r>
      <w:proofErr w:type="spellEnd"/>
      <w:r w:rsidR="00637ADD" w:rsidRPr="00B14ED8">
        <w:rPr>
          <w:rFonts w:ascii="Times New Roman" w:eastAsia="Times New Roman" w:hAnsi="Times New Roman" w:cs="Times New Roman"/>
          <w:sz w:val="24"/>
          <w:szCs w:val="24"/>
        </w:rPr>
        <w:t>).</w:t>
      </w:r>
      <w:r w:rsidR="009437E4" w:rsidRPr="00B14ED8">
        <w:rPr>
          <w:rFonts w:ascii="Times New Roman" w:eastAsia="Times New Roman" w:hAnsi="Times New Roman" w:cs="Times New Roman"/>
          <w:sz w:val="24"/>
          <w:szCs w:val="24"/>
        </w:rPr>
        <w:t xml:space="preserve"> </w:t>
      </w:r>
      <w:proofErr w:type="spellStart"/>
      <w:r w:rsidR="009437E4" w:rsidRPr="00B14ED8">
        <w:rPr>
          <w:rFonts w:ascii="Times New Roman" w:eastAsia="Times New Roman" w:hAnsi="Times New Roman" w:cs="Times New Roman"/>
          <w:sz w:val="24"/>
          <w:szCs w:val="24"/>
        </w:rPr>
        <w:t>Untuk</w:t>
      </w:r>
      <w:proofErr w:type="spellEnd"/>
      <w:r w:rsidR="009437E4" w:rsidRPr="00B14ED8">
        <w:rPr>
          <w:rFonts w:ascii="Times New Roman" w:eastAsia="Times New Roman" w:hAnsi="Times New Roman" w:cs="Times New Roman"/>
          <w:sz w:val="24"/>
          <w:szCs w:val="24"/>
        </w:rPr>
        <w:t xml:space="preserve"> </w:t>
      </w:r>
      <w:proofErr w:type="spellStart"/>
      <w:r w:rsidR="009437E4" w:rsidRPr="00B14ED8">
        <w:rPr>
          <w:rFonts w:ascii="Times New Roman" w:eastAsia="Times New Roman" w:hAnsi="Times New Roman" w:cs="Times New Roman"/>
          <w:sz w:val="24"/>
          <w:szCs w:val="24"/>
        </w:rPr>
        <w:t>pengukuran</w:t>
      </w:r>
      <w:proofErr w:type="spellEnd"/>
      <w:r w:rsidR="009437E4" w:rsidRPr="00B14ED8">
        <w:rPr>
          <w:rFonts w:ascii="Times New Roman" w:eastAsia="Times New Roman" w:hAnsi="Times New Roman" w:cs="Times New Roman"/>
          <w:sz w:val="24"/>
          <w:szCs w:val="24"/>
        </w:rPr>
        <w:t xml:space="preserve"> </w:t>
      </w:r>
      <w:proofErr w:type="spellStart"/>
      <w:r w:rsidR="009437E4" w:rsidRPr="00B14ED8">
        <w:rPr>
          <w:rFonts w:ascii="Times New Roman" w:eastAsia="Times New Roman" w:hAnsi="Times New Roman" w:cs="Times New Roman"/>
          <w:sz w:val="24"/>
          <w:szCs w:val="24"/>
        </w:rPr>
        <w:t>nilai</w:t>
      </w:r>
      <w:proofErr w:type="spellEnd"/>
      <w:r w:rsidR="009437E4" w:rsidRPr="00B14ED8">
        <w:rPr>
          <w:rFonts w:ascii="Times New Roman" w:eastAsia="Times New Roman" w:hAnsi="Times New Roman" w:cs="Times New Roman"/>
          <w:sz w:val="24"/>
          <w:szCs w:val="24"/>
        </w:rPr>
        <w:t xml:space="preserve"> </w:t>
      </w:r>
      <w:proofErr w:type="spellStart"/>
      <w:r w:rsidR="009437E4" w:rsidRPr="00B14ED8">
        <w:rPr>
          <w:rFonts w:ascii="Times New Roman" w:eastAsia="Times New Roman" w:hAnsi="Times New Roman" w:cs="Times New Roman"/>
          <w:sz w:val="24"/>
          <w:szCs w:val="24"/>
        </w:rPr>
        <w:t>persentase</w:t>
      </w:r>
      <w:proofErr w:type="spellEnd"/>
      <w:r w:rsidR="009437E4" w:rsidRPr="00B14ED8">
        <w:rPr>
          <w:rFonts w:ascii="Times New Roman" w:eastAsia="Times New Roman" w:hAnsi="Times New Roman" w:cs="Times New Roman"/>
          <w:sz w:val="24"/>
          <w:szCs w:val="24"/>
        </w:rPr>
        <w:t xml:space="preserve"> </w:t>
      </w:r>
      <w:proofErr w:type="spellStart"/>
      <w:r w:rsidR="009437E4" w:rsidRPr="00B14ED8">
        <w:rPr>
          <w:rFonts w:ascii="Times New Roman" w:eastAsia="Times New Roman" w:hAnsi="Times New Roman" w:cs="Times New Roman"/>
          <w:sz w:val="24"/>
          <w:szCs w:val="24"/>
        </w:rPr>
        <w:t>penerapan</w:t>
      </w:r>
      <w:proofErr w:type="spellEnd"/>
      <w:r w:rsidR="009437E4" w:rsidRPr="00B14ED8">
        <w:rPr>
          <w:rFonts w:ascii="Times New Roman" w:eastAsia="Times New Roman" w:hAnsi="Times New Roman" w:cs="Times New Roman"/>
          <w:sz w:val="24"/>
          <w:szCs w:val="24"/>
        </w:rPr>
        <w:t xml:space="preserve"> </w:t>
      </w:r>
      <w:proofErr w:type="spellStart"/>
      <w:r w:rsidR="009437E4" w:rsidRPr="00B14ED8">
        <w:rPr>
          <w:rFonts w:ascii="Times New Roman" w:eastAsia="Times New Roman" w:hAnsi="Times New Roman" w:cs="Times New Roman"/>
          <w:sz w:val="24"/>
          <w:szCs w:val="24"/>
        </w:rPr>
        <w:t>manajemen</w:t>
      </w:r>
      <w:proofErr w:type="spellEnd"/>
      <w:r w:rsidR="009437E4" w:rsidRPr="00B14ED8">
        <w:rPr>
          <w:rFonts w:ascii="Times New Roman" w:eastAsia="Times New Roman" w:hAnsi="Times New Roman" w:cs="Times New Roman"/>
          <w:sz w:val="24"/>
          <w:szCs w:val="24"/>
        </w:rPr>
        <w:t xml:space="preserve"> </w:t>
      </w:r>
      <w:proofErr w:type="spellStart"/>
      <w:r w:rsidR="009437E4" w:rsidRPr="00B14ED8">
        <w:rPr>
          <w:rFonts w:ascii="Times New Roman" w:eastAsia="Times New Roman" w:hAnsi="Times New Roman" w:cs="Times New Roman"/>
          <w:sz w:val="24"/>
          <w:szCs w:val="24"/>
        </w:rPr>
        <w:t>risiko</w:t>
      </w:r>
      <w:proofErr w:type="spellEnd"/>
      <w:r w:rsidR="009437E4" w:rsidRPr="00B14ED8">
        <w:rPr>
          <w:rFonts w:ascii="Times New Roman" w:eastAsia="Times New Roman" w:hAnsi="Times New Roman" w:cs="Times New Roman"/>
          <w:sz w:val="24"/>
          <w:szCs w:val="24"/>
        </w:rPr>
        <w:t xml:space="preserve"> </w:t>
      </w:r>
      <w:proofErr w:type="spellStart"/>
      <w:r w:rsidR="009437E4" w:rsidRPr="00B14ED8">
        <w:rPr>
          <w:rFonts w:ascii="Times New Roman" w:eastAsia="Times New Roman" w:hAnsi="Times New Roman" w:cs="Times New Roman"/>
          <w:sz w:val="24"/>
          <w:szCs w:val="24"/>
        </w:rPr>
        <w:t>menggunakan</w:t>
      </w:r>
      <w:proofErr w:type="spellEnd"/>
      <w:r w:rsidR="009437E4" w:rsidRPr="00B14ED8">
        <w:rPr>
          <w:rFonts w:ascii="Times New Roman" w:eastAsia="Times New Roman" w:hAnsi="Times New Roman" w:cs="Times New Roman"/>
          <w:sz w:val="24"/>
          <w:szCs w:val="24"/>
        </w:rPr>
        <w:t xml:space="preserve"> </w:t>
      </w:r>
      <w:proofErr w:type="spellStart"/>
      <w:r w:rsidR="009437E4" w:rsidRPr="00B14ED8">
        <w:rPr>
          <w:rFonts w:ascii="Times New Roman" w:eastAsia="Times New Roman" w:hAnsi="Times New Roman" w:cs="Times New Roman"/>
          <w:sz w:val="24"/>
          <w:szCs w:val="24"/>
        </w:rPr>
        <w:t>penghitungan</w:t>
      </w:r>
      <w:proofErr w:type="spellEnd"/>
      <w:r w:rsidR="009437E4" w:rsidRPr="00B14ED8">
        <w:rPr>
          <w:rFonts w:ascii="Times New Roman" w:eastAsia="Times New Roman" w:hAnsi="Times New Roman" w:cs="Times New Roman"/>
          <w:sz w:val="24"/>
          <w:szCs w:val="24"/>
        </w:rPr>
        <w:t xml:space="preserve"> </w:t>
      </w:r>
      <w:proofErr w:type="spellStart"/>
      <w:r w:rsidR="009437E4" w:rsidRPr="00B14ED8">
        <w:rPr>
          <w:rFonts w:ascii="Times New Roman" w:eastAsia="Times New Roman" w:hAnsi="Times New Roman" w:cs="Times New Roman"/>
          <w:sz w:val="24"/>
          <w:szCs w:val="24"/>
        </w:rPr>
        <w:t>sebagai</w:t>
      </w:r>
      <w:proofErr w:type="spellEnd"/>
      <w:r w:rsidR="009437E4" w:rsidRPr="00B14ED8">
        <w:rPr>
          <w:rFonts w:ascii="Times New Roman" w:eastAsia="Times New Roman" w:hAnsi="Times New Roman" w:cs="Times New Roman"/>
          <w:sz w:val="24"/>
          <w:szCs w:val="24"/>
        </w:rPr>
        <w:t xml:space="preserve"> </w:t>
      </w:r>
      <w:proofErr w:type="spellStart"/>
      <w:r w:rsidR="009437E4" w:rsidRPr="00B14ED8">
        <w:rPr>
          <w:rFonts w:ascii="Times New Roman" w:eastAsia="Times New Roman" w:hAnsi="Times New Roman" w:cs="Times New Roman"/>
          <w:sz w:val="24"/>
          <w:szCs w:val="24"/>
        </w:rPr>
        <w:t>berikut</w:t>
      </w:r>
      <w:proofErr w:type="spellEnd"/>
      <w:r w:rsidR="00D9410D" w:rsidRPr="00B14ED8">
        <w:rPr>
          <w:rFonts w:ascii="Times New Roman" w:eastAsia="Times New Roman" w:hAnsi="Times New Roman" w:cs="Times New Roman"/>
          <w:sz w:val="24"/>
          <w:szCs w:val="24"/>
        </w:rPr>
        <w:fldChar w:fldCharType="begin" w:fldLock="1"/>
      </w:r>
      <w:r w:rsidR="00317FB6" w:rsidRPr="00B14ED8">
        <w:rPr>
          <w:rFonts w:ascii="Times New Roman" w:eastAsia="Times New Roman" w:hAnsi="Times New Roman" w:cs="Times New Roman"/>
          <w:sz w:val="24"/>
          <w:szCs w:val="24"/>
        </w:rPr>
        <w:instrText>ADDIN CSL_CITATION {"citationItems":[{"id":"ITEM-1","itemData":{"author":[{"dropping-particle":"","family":"Iswajuni","given":"","non-dropping-particle":"","parse-names":false,"suffix":""},{"dropping-particle":"","family":"Soetedjo","given":"Soegeng","non-dropping-particle":"","parse-names":false,"suffix":""},{"dropping-particle":"","family":"Manasikana","given":"Arina","non-dropping-particle":"","parse-names":false,"suffix":""}],"container-title":"JOURNAL OF APPLIED MANAGERIAL ACCOUNTING","id":"ITEM-1","issue":"2","issued":{"date-parts":[["2018"]]},"page":"275-281","title":"PENGARUH ENTERPRISE RISK MANAGEMENT ( ERM ) TERHADAP NILAI PERUSAHAAN PADA PERUSAHAAN","type":"article-journal","volume":"2"},"uris":["http://www.mendeley.com/documents/?uuid=de5e863f-b234-458f-a29e-d3188553c4b7"]}],"mendeley":{"formattedCitation":"(Iswajuni et al., 2018)","plainTextFormattedCitation":"(Iswajuni et al., 2018)","previouslyFormattedCitation":"(Iswajuni et al., 2018)"},"properties":{"noteIndex":0},"schema":"https://github.com/citation-style-language/schema/raw/master/csl-citation.json"}</w:instrText>
      </w:r>
      <w:r w:rsidR="00D9410D" w:rsidRPr="00B14ED8">
        <w:rPr>
          <w:rFonts w:ascii="Times New Roman" w:eastAsia="Times New Roman" w:hAnsi="Times New Roman" w:cs="Times New Roman"/>
          <w:sz w:val="24"/>
          <w:szCs w:val="24"/>
        </w:rPr>
        <w:fldChar w:fldCharType="separate"/>
      </w:r>
      <w:r w:rsidR="00D9410D" w:rsidRPr="00B14ED8">
        <w:rPr>
          <w:rFonts w:ascii="Times New Roman" w:eastAsia="Times New Roman" w:hAnsi="Times New Roman" w:cs="Times New Roman"/>
          <w:noProof/>
          <w:sz w:val="24"/>
          <w:szCs w:val="24"/>
        </w:rPr>
        <w:t>(Iswajuni et al., 2018)</w:t>
      </w:r>
      <w:r w:rsidR="00D9410D" w:rsidRPr="00B14ED8">
        <w:rPr>
          <w:rFonts w:ascii="Times New Roman" w:eastAsia="Times New Roman" w:hAnsi="Times New Roman" w:cs="Times New Roman"/>
          <w:sz w:val="24"/>
          <w:szCs w:val="24"/>
        </w:rPr>
        <w:fldChar w:fldCharType="end"/>
      </w:r>
      <w:r w:rsidR="009437E4" w:rsidRPr="00B14ED8">
        <w:rPr>
          <w:rFonts w:ascii="Times New Roman" w:eastAsia="Times New Roman" w:hAnsi="Times New Roman" w:cs="Times New Roman"/>
          <w:sz w:val="24"/>
          <w:szCs w:val="24"/>
        </w:rPr>
        <w:t>:</w:t>
      </w:r>
    </w:p>
    <w:p w14:paraId="53AC75BB" w14:textId="3B3B79E2" w:rsidR="00FA2EE5" w:rsidRPr="00B14ED8" w:rsidRDefault="00CE7D0A" w:rsidP="00B14ED8">
      <w:pPr>
        <w:pStyle w:val="ListParagraph"/>
        <w:spacing w:after="0" w:line="360" w:lineRule="auto"/>
        <w:ind w:left="0"/>
        <w:jc w:val="both"/>
        <w:rPr>
          <w:rFonts w:ascii="Times New Roman" w:eastAsiaTheme="minorEastAsia" w:hAnsi="Times New Roman" w:cs="Times New Roman"/>
          <w:color w:val="000000" w:themeColor="text1"/>
          <w:sz w:val="24"/>
          <w:szCs w:val="24"/>
        </w:rPr>
      </w:pPr>
      <m:oMathPara>
        <m:oMath>
          <m:r>
            <w:rPr>
              <w:rStyle w:val="fontstyle01"/>
              <w:rFonts w:ascii="Cambria Math" w:hAnsi="Cambria Math" w:cs="Times New Roman"/>
              <w:sz w:val="24"/>
              <w:szCs w:val="24"/>
            </w:rPr>
            <m:t xml:space="preserve">Manajemen Risiko= </m:t>
          </m:r>
          <m:f>
            <m:fPr>
              <m:ctrlPr>
                <w:rPr>
                  <w:rStyle w:val="fontstyle01"/>
                  <w:rFonts w:ascii="Cambria Math" w:hAnsi="Cambria Math" w:cs="Times New Roman"/>
                  <w:i/>
                  <w:color w:val="000000" w:themeColor="text1"/>
                  <w:sz w:val="24"/>
                  <w:szCs w:val="24"/>
                </w:rPr>
              </m:ctrlPr>
            </m:fPr>
            <m:num>
              <m:r>
                <w:rPr>
                  <w:rStyle w:val="fontstyle01"/>
                  <w:rFonts w:ascii="Cambria Math" w:hAnsi="Cambria Math" w:cs="Times New Roman"/>
                  <w:sz w:val="24"/>
                  <w:szCs w:val="24"/>
                </w:rPr>
                <m:t>Total Item ERM yang diimplementasikan</m:t>
              </m:r>
            </m:num>
            <m:den>
              <m:r>
                <w:rPr>
                  <w:rStyle w:val="fontstyle01"/>
                  <w:rFonts w:ascii="Cambria Math" w:hAnsi="Cambria Math" w:cs="Times New Roman"/>
                  <w:sz w:val="24"/>
                  <w:szCs w:val="24"/>
                </w:rPr>
                <m:t>Total Indeks ERM  (8)</m:t>
              </m:r>
            </m:den>
          </m:f>
          <m:r>
            <w:rPr>
              <w:rStyle w:val="fontstyle01"/>
              <w:rFonts w:ascii="Cambria Math" w:hAnsi="Cambria Math" w:cs="Times New Roman"/>
              <w:sz w:val="24"/>
              <w:szCs w:val="24"/>
            </w:rPr>
            <m:t xml:space="preserve"> x 100 %</m:t>
          </m:r>
        </m:oMath>
      </m:oMathPara>
    </w:p>
    <w:p w14:paraId="65FF5303" w14:textId="71590717" w:rsidR="00CD4FB8" w:rsidRPr="00B14ED8" w:rsidRDefault="00CD4FB8" w:rsidP="00B14ED8">
      <w:pPr>
        <w:tabs>
          <w:tab w:val="left" w:pos="567"/>
        </w:tabs>
        <w:spacing w:after="0" w:line="360" w:lineRule="auto"/>
        <w:jc w:val="both"/>
        <w:rPr>
          <w:rFonts w:ascii="Times New Roman" w:eastAsia="Times New Roman" w:hAnsi="Times New Roman" w:cs="Times New Roman"/>
          <w:b/>
          <w:bCs/>
          <w:sz w:val="24"/>
          <w:szCs w:val="24"/>
        </w:rPr>
      </w:pPr>
      <w:proofErr w:type="spellStart"/>
      <w:r w:rsidRPr="00B14ED8">
        <w:rPr>
          <w:rFonts w:ascii="Times New Roman" w:eastAsia="Times New Roman" w:hAnsi="Times New Roman" w:cs="Times New Roman"/>
          <w:b/>
          <w:bCs/>
          <w:sz w:val="24"/>
          <w:szCs w:val="24"/>
        </w:rPr>
        <w:t>Kinerja</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Keuangan</w:t>
      </w:r>
      <w:proofErr w:type="spellEnd"/>
      <w:r w:rsidR="007979B2" w:rsidRPr="00B14ED8">
        <w:rPr>
          <w:rFonts w:ascii="Times New Roman" w:eastAsia="Times New Roman" w:hAnsi="Times New Roman" w:cs="Times New Roman"/>
          <w:b/>
          <w:bCs/>
          <w:sz w:val="24"/>
          <w:szCs w:val="24"/>
        </w:rPr>
        <w:t xml:space="preserve"> </w:t>
      </w:r>
    </w:p>
    <w:p w14:paraId="7E00A9E1" w14:textId="6E2E78C3" w:rsidR="00E779D9" w:rsidRPr="00B14ED8" w:rsidRDefault="00433F3E" w:rsidP="00B14ED8">
      <w:pPr>
        <w:spacing w:after="0" w:line="360" w:lineRule="auto"/>
        <w:ind w:firstLine="567"/>
        <w:jc w:val="both"/>
        <w:rPr>
          <w:rFonts w:ascii="Times New Roman" w:hAnsi="Times New Roman" w:cs="Times New Roman"/>
          <w:color w:val="000000" w:themeColor="text1"/>
          <w:sz w:val="24"/>
          <w:szCs w:val="24"/>
        </w:rPr>
      </w:pPr>
      <w:proofErr w:type="spellStart"/>
      <w:r w:rsidRPr="00B14ED8">
        <w:rPr>
          <w:rFonts w:ascii="Times New Roman" w:hAnsi="Times New Roman" w:cs="Times New Roman"/>
          <w:color w:val="000000" w:themeColor="text1"/>
          <w:sz w:val="24"/>
          <w:szCs w:val="24"/>
        </w:rPr>
        <w:t>Menurut</w:t>
      </w:r>
      <w:proofErr w:type="spellEnd"/>
      <w:r w:rsidRPr="00B14ED8">
        <w:rPr>
          <w:rFonts w:ascii="Times New Roman" w:hAnsi="Times New Roman" w:cs="Times New Roman"/>
          <w:color w:val="000000" w:themeColor="text1"/>
          <w:sz w:val="24"/>
          <w:szCs w:val="24"/>
        </w:rPr>
        <w:t xml:space="preserve"> </w:t>
      </w:r>
      <w:r w:rsidR="004F0846" w:rsidRPr="00B14ED8">
        <w:rPr>
          <w:rFonts w:ascii="Times New Roman" w:hAnsi="Times New Roman" w:cs="Times New Roman"/>
          <w:color w:val="000000" w:themeColor="text1"/>
          <w:sz w:val="24"/>
          <w:szCs w:val="24"/>
        </w:rPr>
        <w:fldChar w:fldCharType="begin" w:fldLock="1"/>
      </w:r>
      <w:r w:rsidR="004F0846" w:rsidRPr="00B14ED8">
        <w:rPr>
          <w:rFonts w:ascii="Times New Roman" w:hAnsi="Times New Roman" w:cs="Times New Roman"/>
          <w:color w:val="000000" w:themeColor="text1"/>
          <w:sz w:val="24"/>
          <w:szCs w:val="24"/>
        </w:rPr>
        <w:instrText>ADDIN CSL_CITATION {"citationItems":[{"id":"ITEM-1","itemData":{"ISSN":"22011323","abstract":"Corporate governance is described as the policies and processes adopted by firms to reduce agency problems by considering the differentiation between owners and managers. This study aims to investigate corporate governance in the context of the profitability of small and medium-sized entities (SMEs) in Indonesia. Corporate governance is the process and structure used to direct and manage the business affairs of a corporation with the objective of enhancing shareholder value. For the examination of the relationship between corporate governance and SME profitability, this study utilised panel data obtained from 50 samples of Indonesian SMEs during a period of five years from 2013-2017. The findings of this study reveal that family ownership has a significant negative relationship with profitability of Indonesian SMEs. Furthermore analysis shows that board size and gender diversity have significant positive influence on the profitability of SMEs. This study contributes to the theoretical body of knowledge in this field by providing fresh empirical evidence on the impact of corporate governance on profitability of SMEs. Specifically, the study is beneficial for SME owners, managers, the government, management consultants and financial institutions in policy and decision making related to SMEs in Indonesia. However, this study used the data of only 50 SMEs, future studies could use a sample of more than this data set.","author":[{"dropping-particle":"","family":"Hakimah","given":"Yusro","non-dropping-particle":"","parse-names":false,"suffix":""},{"dropping-particle":"","family":"Pratama","given":"Ikbar","non-dropping-particle":"","parse-names":false,"suffix":""},{"dropping-particle":"","family":"Fitri","given":"Hadiati","non-dropping-particle":"","parse-names":false,"suffix":""},{"dropping-particle":"","family":"Ganatri","given":"Mala","non-dropping-particle":"","parse-names":false,"suffix":""},{"dropping-particle":"","family":"Sulbahri","given":"Rifani Akbar","non-dropping-particle":"","parse-names":false,"suffix":""}],"container-title":"International Journal of Innovation, Creativity and Change","id":"ITEM-1","issue":"1","issued":{"date-parts":[["2019"]]},"page":"32-51","title":"Impact of intrinsic corporate governance on financial performance of indonesian SMEs","type":"article-journal","volume":"7"},"uris":["http://www.mendeley.com/documents/?uuid=a0d5e70d-ef08-4b24-8233-2bb1da422b77"]}],"mendeley":{"formattedCitation":"(Hakimah et al., 2019)","manualFormatting":"Hakimah et al (2019)","plainTextFormattedCitation":"(Hakimah et al., 2019)","previouslyFormattedCitation":"(Hakimah et al., 2019)"},"properties":{"noteIndex":0},"schema":"https://github.com/citation-style-language/schema/raw/master/csl-citation.json"}</w:instrText>
      </w:r>
      <w:r w:rsidR="004F0846" w:rsidRPr="00B14ED8">
        <w:rPr>
          <w:rFonts w:ascii="Times New Roman" w:hAnsi="Times New Roman" w:cs="Times New Roman"/>
          <w:color w:val="000000" w:themeColor="text1"/>
          <w:sz w:val="24"/>
          <w:szCs w:val="24"/>
        </w:rPr>
        <w:fldChar w:fldCharType="separate"/>
      </w:r>
      <w:r w:rsidR="004F0846" w:rsidRPr="00B14ED8">
        <w:rPr>
          <w:rFonts w:ascii="Times New Roman" w:hAnsi="Times New Roman" w:cs="Times New Roman"/>
          <w:noProof/>
          <w:color w:val="000000" w:themeColor="text1"/>
          <w:sz w:val="24"/>
          <w:szCs w:val="24"/>
        </w:rPr>
        <w:t>Hakimah et al (2019)</w:t>
      </w:r>
      <w:r w:rsidR="004F0846" w:rsidRPr="00B14ED8">
        <w:rPr>
          <w:rFonts w:ascii="Times New Roman" w:hAnsi="Times New Roman" w:cs="Times New Roman"/>
          <w:color w:val="000000" w:themeColor="text1"/>
          <w:sz w:val="24"/>
          <w:szCs w:val="24"/>
        </w:rPr>
        <w:fldChar w:fldCharType="end"/>
      </w:r>
      <w:r w:rsidR="004F0846" w:rsidRPr="00B14ED8">
        <w:rPr>
          <w:rFonts w:ascii="Times New Roman" w:hAnsi="Times New Roman" w:cs="Times New Roman"/>
          <w:color w:val="000000" w:themeColor="text1"/>
          <w:sz w:val="24"/>
          <w:szCs w:val="24"/>
        </w:rPr>
        <w:t xml:space="preserve"> </w:t>
      </w:r>
      <w:proofErr w:type="spellStart"/>
      <w:r w:rsidR="00BF1FC4" w:rsidRPr="00B14ED8">
        <w:rPr>
          <w:rFonts w:ascii="Times New Roman" w:hAnsi="Times New Roman" w:cs="Times New Roman"/>
          <w:color w:val="000000" w:themeColor="text1"/>
          <w:sz w:val="24"/>
          <w:szCs w:val="24"/>
        </w:rPr>
        <w:t>kinerja</w:t>
      </w:r>
      <w:proofErr w:type="spellEnd"/>
      <w:r w:rsidR="00BF1FC4" w:rsidRPr="00B14ED8">
        <w:rPr>
          <w:rFonts w:ascii="Times New Roman" w:hAnsi="Times New Roman" w:cs="Times New Roman"/>
          <w:color w:val="000000" w:themeColor="text1"/>
          <w:sz w:val="24"/>
          <w:szCs w:val="24"/>
        </w:rPr>
        <w:t xml:space="preserve"> </w:t>
      </w:r>
      <w:proofErr w:type="spellStart"/>
      <w:r w:rsidR="00BF1FC4" w:rsidRPr="00B14ED8">
        <w:rPr>
          <w:rFonts w:ascii="Times New Roman" w:hAnsi="Times New Roman" w:cs="Times New Roman"/>
          <w:color w:val="000000" w:themeColor="text1"/>
          <w:sz w:val="24"/>
          <w:szCs w:val="24"/>
        </w:rPr>
        <w:t>keuangan</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adalah</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kalkulasi</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ukur</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dengan</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tujuan</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evaluatif</w:t>
      </w:r>
      <w:proofErr w:type="spellEnd"/>
      <w:r w:rsidR="004F0846" w:rsidRPr="00B14ED8">
        <w:rPr>
          <w:rFonts w:ascii="Times New Roman" w:hAnsi="Times New Roman" w:cs="Times New Roman"/>
          <w:color w:val="000000" w:themeColor="text1"/>
          <w:sz w:val="24"/>
          <w:szCs w:val="24"/>
        </w:rPr>
        <w:t xml:space="preserve"> di </w:t>
      </w:r>
      <w:proofErr w:type="spellStart"/>
      <w:r w:rsidR="004F0846" w:rsidRPr="00B14ED8">
        <w:rPr>
          <w:rFonts w:ascii="Times New Roman" w:hAnsi="Times New Roman" w:cs="Times New Roman"/>
          <w:color w:val="000000" w:themeColor="text1"/>
          <w:sz w:val="24"/>
          <w:szCs w:val="24"/>
        </w:rPr>
        <w:t>dalam</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aspek</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kapabilitas</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suatu</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perusahaan</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dalam</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menghasilkan</w:t>
      </w:r>
      <w:proofErr w:type="spellEnd"/>
      <w:r w:rsidR="004F0846" w:rsidRPr="00B14ED8">
        <w:rPr>
          <w:rFonts w:ascii="Times New Roman" w:hAnsi="Times New Roman" w:cs="Times New Roman"/>
          <w:color w:val="000000" w:themeColor="text1"/>
          <w:sz w:val="24"/>
          <w:szCs w:val="24"/>
        </w:rPr>
        <w:t xml:space="preserve"> profit. </w:t>
      </w:r>
      <w:proofErr w:type="spellStart"/>
      <w:r w:rsidR="00E56BC9" w:rsidRPr="00B14ED8">
        <w:rPr>
          <w:rFonts w:ascii="Times New Roman" w:hAnsi="Times New Roman" w:cs="Times New Roman"/>
          <w:color w:val="000000" w:themeColor="text1"/>
          <w:sz w:val="24"/>
          <w:szCs w:val="24"/>
        </w:rPr>
        <w:t>Kemampuan</w:t>
      </w:r>
      <w:proofErr w:type="spellEnd"/>
      <w:r w:rsidR="00E56BC9" w:rsidRPr="00B14ED8">
        <w:rPr>
          <w:rFonts w:ascii="Times New Roman" w:hAnsi="Times New Roman" w:cs="Times New Roman"/>
          <w:color w:val="000000" w:themeColor="text1"/>
          <w:sz w:val="24"/>
          <w:szCs w:val="24"/>
        </w:rPr>
        <w:t xml:space="preserve"> </w:t>
      </w:r>
      <w:proofErr w:type="spellStart"/>
      <w:r w:rsidR="00E56BC9" w:rsidRPr="00B14ED8">
        <w:rPr>
          <w:rFonts w:ascii="Times New Roman" w:hAnsi="Times New Roman" w:cs="Times New Roman"/>
          <w:color w:val="000000" w:themeColor="text1"/>
          <w:sz w:val="24"/>
          <w:szCs w:val="24"/>
        </w:rPr>
        <w:t>perusahaan</w:t>
      </w:r>
      <w:proofErr w:type="spellEnd"/>
      <w:r w:rsidR="00E56BC9" w:rsidRPr="00B14ED8">
        <w:rPr>
          <w:rFonts w:ascii="Times New Roman" w:hAnsi="Times New Roman" w:cs="Times New Roman"/>
          <w:color w:val="000000" w:themeColor="text1"/>
          <w:sz w:val="24"/>
          <w:szCs w:val="24"/>
        </w:rPr>
        <w:t xml:space="preserve"> </w:t>
      </w:r>
      <w:proofErr w:type="spellStart"/>
      <w:r w:rsidR="00E56BC9" w:rsidRPr="00B14ED8">
        <w:rPr>
          <w:rFonts w:ascii="Times New Roman" w:hAnsi="Times New Roman" w:cs="Times New Roman"/>
          <w:color w:val="000000" w:themeColor="text1"/>
          <w:sz w:val="24"/>
          <w:szCs w:val="24"/>
        </w:rPr>
        <w:t>mampu</w:t>
      </w:r>
      <w:proofErr w:type="spellEnd"/>
      <w:r w:rsidR="00E56BC9" w:rsidRPr="00B14ED8">
        <w:rPr>
          <w:rFonts w:ascii="Times New Roman" w:hAnsi="Times New Roman" w:cs="Times New Roman"/>
          <w:color w:val="000000" w:themeColor="text1"/>
          <w:sz w:val="24"/>
          <w:szCs w:val="24"/>
        </w:rPr>
        <w:t xml:space="preserve"> </w:t>
      </w:r>
      <w:proofErr w:type="spellStart"/>
      <w:r w:rsidR="00E56BC9" w:rsidRPr="00B14ED8">
        <w:rPr>
          <w:rFonts w:ascii="Times New Roman" w:hAnsi="Times New Roman" w:cs="Times New Roman"/>
          <w:color w:val="000000" w:themeColor="text1"/>
          <w:sz w:val="24"/>
          <w:szCs w:val="24"/>
        </w:rPr>
        <w:t>diidentifikasi</w:t>
      </w:r>
      <w:proofErr w:type="spellEnd"/>
      <w:r w:rsidR="00E56BC9" w:rsidRPr="00B14ED8">
        <w:rPr>
          <w:rFonts w:ascii="Times New Roman" w:hAnsi="Times New Roman" w:cs="Times New Roman"/>
          <w:color w:val="000000" w:themeColor="text1"/>
          <w:sz w:val="24"/>
          <w:szCs w:val="24"/>
        </w:rPr>
        <w:t xml:space="preserve"> </w:t>
      </w:r>
      <w:proofErr w:type="spellStart"/>
      <w:r w:rsidR="00E56BC9" w:rsidRPr="00B14ED8">
        <w:rPr>
          <w:rFonts w:ascii="Times New Roman" w:hAnsi="Times New Roman" w:cs="Times New Roman"/>
          <w:color w:val="000000" w:themeColor="text1"/>
          <w:sz w:val="24"/>
          <w:szCs w:val="24"/>
        </w:rPr>
        <w:t>dari</w:t>
      </w:r>
      <w:proofErr w:type="spellEnd"/>
      <w:r w:rsidR="00E56BC9" w:rsidRPr="00B14ED8">
        <w:rPr>
          <w:rFonts w:ascii="Times New Roman" w:hAnsi="Times New Roman" w:cs="Times New Roman"/>
          <w:color w:val="000000" w:themeColor="text1"/>
          <w:sz w:val="24"/>
          <w:szCs w:val="24"/>
        </w:rPr>
        <w:t xml:space="preserve"> </w:t>
      </w:r>
      <w:proofErr w:type="spellStart"/>
      <w:r w:rsidR="00E56BC9" w:rsidRPr="00B14ED8">
        <w:rPr>
          <w:rFonts w:ascii="Times New Roman" w:hAnsi="Times New Roman" w:cs="Times New Roman"/>
          <w:color w:val="000000" w:themeColor="text1"/>
          <w:sz w:val="24"/>
          <w:szCs w:val="24"/>
        </w:rPr>
        <w:t>nilai</w:t>
      </w:r>
      <w:proofErr w:type="spellEnd"/>
      <w:r w:rsidR="00E56BC9" w:rsidRPr="00B14ED8">
        <w:rPr>
          <w:rFonts w:ascii="Times New Roman" w:hAnsi="Times New Roman" w:cs="Times New Roman"/>
          <w:color w:val="000000" w:themeColor="text1"/>
          <w:sz w:val="24"/>
          <w:szCs w:val="24"/>
        </w:rPr>
        <w:t xml:space="preserve"> </w:t>
      </w:r>
      <w:proofErr w:type="spellStart"/>
      <w:r w:rsidR="00E56BC9" w:rsidRPr="00B14ED8">
        <w:rPr>
          <w:rFonts w:ascii="Times New Roman" w:hAnsi="Times New Roman" w:cs="Times New Roman"/>
          <w:color w:val="000000" w:themeColor="text1"/>
          <w:sz w:val="24"/>
          <w:szCs w:val="24"/>
        </w:rPr>
        <w:t>profitabilitas</w:t>
      </w:r>
      <w:proofErr w:type="spellEnd"/>
      <w:r w:rsidR="00E56BC9" w:rsidRPr="00B14ED8">
        <w:rPr>
          <w:rFonts w:ascii="Times New Roman" w:hAnsi="Times New Roman" w:cs="Times New Roman"/>
          <w:color w:val="000000" w:themeColor="text1"/>
          <w:sz w:val="24"/>
          <w:szCs w:val="24"/>
        </w:rPr>
        <w:t xml:space="preserve"> yang </w:t>
      </w:r>
      <w:proofErr w:type="spellStart"/>
      <w:r w:rsidR="00E56BC9" w:rsidRPr="00B14ED8">
        <w:rPr>
          <w:rFonts w:ascii="Times New Roman" w:hAnsi="Times New Roman" w:cs="Times New Roman"/>
          <w:color w:val="000000" w:themeColor="text1"/>
          <w:sz w:val="24"/>
          <w:szCs w:val="24"/>
        </w:rPr>
        <w:t>merupakan</w:t>
      </w:r>
      <w:proofErr w:type="spellEnd"/>
      <w:r w:rsidR="00471B0C" w:rsidRPr="00B14ED8">
        <w:rPr>
          <w:rFonts w:ascii="Times New Roman" w:hAnsi="Times New Roman" w:cs="Times New Roman"/>
          <w:color w:val="000000" w:themeColor="text1"/>
          <w:sz w:val="24"/>
          <w:szCs w:val="24"/>
        </w:rPr>
        <w:t xml:space="preserve"> </w:t>
      </w:r>
      <w:proofErr w:type="spellStart"/>
      <w:r w:rsidR="00D71851" w:rsidRPr="00B14ED8">
        <w:rPr>
          <w:rFonts w:ascii="Times New Roman" w:hAnsi="Times New Roman" w:cs="Times New Roman"/>
          <w:color w:val="000000" w:themeColor="text1"/>
          <w:sz w:val="24"/>
          <w:szCs w:val="24"/>
        </w:rPr>
        <w:t>nilai</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perbandingan</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antara</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laba</w:t>
      </w:r>
      <w:proofErr w:type="spellEnd"/>
      <w:r w:rsidR="004F0846" w:rsidRPr="00B14ED8">
        <w:rPr>
          <w:rFonts w:ascii="Times New Roman" w:hAnsi="Times New Roman" w:cs="Times New Roman"/>
          <w:color w:val="000000" w:themeColor="text1"/>
          <w:sz w:val="24"/>
          <w:szCs w:val="24"/>
        </w:rPr>
        <w:t xml:space="preserve"> </w:t>
      </w:r>
      <w:proofErr w:type="spellStart"/>
      <w:r w:rsidR="008E2851" w:rsidRPr="00B14ED8">
        <w:rPr>
          <w:rFonts w:ascii="Times New Roman" w:hAnsi="Times New Roman" w:cs="Times New Roman"/>
          <w:color w:val="000000" w:themeColor="text1"/>
          <w:sz w:val="24"/>
          <w:szCs w:val="24"/>
        </w:rPr>
        <w:t>setelah</w:t>
      </w:r>
      <w:proofErr w:type="spellEnd"/>
      <w:r w:rsidR="008E2851" w:rsidRPr="00B14ED8">
        <w:rPr>
          <w:rFonts w:ascii="Times New Roman" w:hAnsi="Times New Roman" w:cs="Times New Roman"/>
          <w:color w:val="000000" w:themeColor="text1"/>
          <w:sz w:val="24"/>
          <w:szCs w:val="24"/>
        </w:rPr>
        <w:t xml:space="preserve"> </w:t>
      </w:r>
      <w:proofErr w:type="spellStart"/>
      <w:r w:rsidR="008E2851" w:rsidRPr="00B14ED8">
        <w:rPr>
          <w:rFonts w:ascii="Times New Roman" w:hAnsi="Times New Roman" w:cs="Times New Roman"/>
          <w:color w:val="000000" w:themeColor="text1"/>
          <w:sz w:val="24"/>
          <w:szCs w:val="24"/>
        </w:rPr>
        <w:t>pajak</w:t>
      </w:r>
      <w:proofErr w:type="spellEnd"/>
      <w:r w:rsidR="008E2851" w:rsidRPr="00B14ED8">
        <w:rPr>
          <w:rFonts w:ascii="Times New Roman" w:hAnsi="Times New Roman" w:cs="Times New Roman"/>
          <w:color w:val="000000" w:themeColor="text1"/>
          <w:sz w:val="24"/>
          <w:szCs w:val="24"/>
        </w:rPr>
        <w:t xml:space="preserve"> (</w:t>
      </w:r>
      <w:r w:rsidR="008E2851" w:rsidRPr="00B14ED8">
        <w:rPr>
          <w:rFonts w:ascii="Times New Roman" w:hAnsi="Times New Roman" w:cs="Times New Roman"/>
          <w:i/>
          <w:iCs/>
          <w:color w:val="000000" w:themeColor="text1"/>
          <w:sz w:val="24"/>
          <w:szCs w:val="24"/>
        </w:rPr>
        <w:t>earning after tax</w:t>
      </w:r>
      <w:r w:rsidR="008E2851" w:rsidRPr="00B14ED8">
        <w:rPr>
          <w:rFonts w:ascii="Times New Roman" w:hAnsi="Times New Roman" w:cs="Times New Roman"/>
          <w:color w:val="000000" w:themeColor="text1"/>
          <w:sz w:val="24"/>
          <w:szCs w:val="24"/>
        </w:rPr>
        <w:t>)</w:t>
      </w:r>
      <w:r w:rsidR="004F0846" w:rsidRPr="00B14ED8">
        <w:rPr>
          <w:rFonts w:ascii="Times New Roman" w:hAnsi="Times New Roman" w:cs="Times New Roman"/>
          <w:color w:val="000000" w:themeColor="text1"/>
          <w:sz w:val="24"/>
          <w:szCs w:val="24"/>
        </w:rPr>
        <w:t xml:space="preserve"> dan </w:t>
      </w:r>
      <w:proofErr w:type="spellStart"/>
      <w:r w:rsidR="00DE1AE7" w:rsidRPr="00B14ED8">
        <w:rPr>
          <w:rFonts w:ascii="Times New Roman" w:hAnsi="Times New Roman" w:cs="Times New Roman"/>
          <w:color w:val="000000" w:themeColor="text1"/>
          <w:sz w:val="24"/>
          <w:szCs w:val="24"/>
        </w:rPr>
        <w:t>nilai</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aset</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keseluruhan</w:t>
      </w:r>
      <w:proofErr w:type="spellEnd"/>
      <w:r w:rsidR="004F0846" w:rsidRPr="00B14ED8">
        <w:rPr>
          <w:rFonts w:ascii="Times New Roman" w:hAnsi="Times New Roman" w:cs="Times New Roman"/>
          <w:color w:val="000000" w:themeColor="text1"/>
          <w:sz w:val="24"/>
          <w:szCs w:val="24"/>
        </w:rPr>
        <w:t xml:space="preserve"> </w:t>
      </w:r>
      <w:proofErr w:type="spellStart"/>
      <w:r w:rsidR="009474D9" w:rsidRPr="00B14ED8">
        <w:rPr>
          <w:rFonts w:ascii="Times New Roman" w:hAnsi="Times New Roman" w:cs="Times New Roman"/>
          <w:color w:val="000000" w:themeColor="text1"/>
          <w:sz w:val="24"/>
          <w:szCs w:val="24"/>
        </w:rPr>
        <w:t>perusahaan</w:t>
      </w:r>
      <w:proofErr w:type="spellEnd"/>
      <w:r w:rsidR="0049298F" w:rsidRPr="00B14ED8">
        <w:rPr>
          <w:rFonts w:ascii="Times New Roman" w:hAnsi="Times New Roman" w:cs="Times New Roman"/>
          <w:color w:val="000000" w:themeColor="text1"/>
          <w:sz w:val="24"/>
          <w:szCs w:val="24"/>
        </w:rPr>
        <w:t xml:space="preserve"> (</w:t>
      </w:r>
      <w:r w:rsidR="0049298F" w:rsidRPr="00B14ED8">
        <w:rPr>
          <w:rFonts w:ascii="Times New Roman" w:hAnsi="Times New Roman" w:cs="Times New Roman"/>
          <w:i/>
          <w:iCs/>
          <w:color w:val="000000" w:themeColor="text1"/>
          <w:sz w:val="24"/>
          <w:szCs w:val="24"/>
        </w:rPr>
        <w:t>total asset</w:t>
      </w:r>
      <w:r w:rsidR="00A93FB4" w:rsidRPr="00B14ED8">
        <w:rPr>
          <w:rFonts w:ascii="Times New Roman" w:hAnsi="Times New Roman" w:cs="Times New Roman"/>
          <w:i/>
          <w:iCs/>
          <w:color w:val="000000" w:themeColor="text1"/>
          <w:sz w:val="24"/>
          <w:szCs w:val="24"/>
        </w:rPr>
        <w:t>s</w:t>
      </w:r>
      <w:r w:rsidR="0049298F" w:rsidRPr="00B14ED8">
        <w:rPr>
          <w:rFonts w:ascii="Times New Roman" w:hAnsi="Times New Roman" w:cs="Times New Roman"/>
          <w:color w:val="000000" w:themeColor="text1"/>
          <w:sz w:val="24"/>
          <w:szCs w:val="24"/>
        </w:rPr>
        <w:t>)</w:t>
      </w:r>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Dalam</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konteks</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ini</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profitabilitas</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menjadi</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indikator</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kinerja</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keuangan</w:t>
      </w:r>
      <w:proofErr w:type="spellEnd"/>
      <w:r w:rsidR="004F0846" w:rsidRPr="00B14ED8">
        <w:rPr>
          <w:rFonts w:ascii="Times New Roman" w:hAnsi="Times New Roman" w:cs="Times New Roman"/>
          <w:color w:val="000000" w:themeColor="text1"/>
          <w:sz w:val="24"/>
          <w:szCs w:val="24"/>
        </w:rPr>
        <w:t xml:space="preserve"> yang </w:t>
      </w:r>
      <w:proofErr w:type="spellStart"/>
      <w:r w:rsidR="004F0846" w:rsidRPr="00B14ED8">
        <w:rPr>
          <w:rFonts w:ascii="Times New Roman" w:hAnsi="Times New Roman" w:cs="Times New Roman"/>
          <w:color w:val="000000" w:themeColor="text1"/>
          <w:sz w:val="24"/>
          <w:szCs w:val="24"/>
        </w:rPr>
        <w:t>sangat</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penting</w:t>
      </w:r>
      <w:proofErr w:type="spellEnd"/>
      <w:r w:rsidR="004F0846" w:rsidRPr="00B14ED8">
        <w:rPr>
          <w:rFonts w:ascii="Times New Roman" w:hAnsi="Times New Roman" w:cs="Times New Roman"/>
          <w:color w:val="000000" w:themeColor="text1"/>
          <w:sz w:val="24"/>
          <w:szCs w:val="24"/>
        </w:rPr>
        <w:t xml:space="preserve">, yang </w:t>
      </w:r>
      <w:proofErr w:type="spellStart"/>
      <w:r w:rsidR="004F0846" w:rsidRPr="00B14ED8">
        <w:rPr>
          <w:rFonts w:ascii="Times New Roman" w:hAnsi="Times New Roman" w:cs="Times New Roman"/>
          <w:color w:val="000000" w:themeColor="text1"/>
          <w:sz w:val="24"/>
          <w:szCs w:val="24"/>
        </w:rPr>
        <w:t>memberikan</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pemahaman</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tentang</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sejauh</w:t>
      </w:r>
      <w:proofErr w:type="spellEnd"/>
      <w:r w:rsidR="004F0846" w:rsidRPr="00B14ED8">
        <w:rPr>
          <w:rFonts w:ascii="Times New Roman" w:hAnsi="Times New Roman" w:cs="Times New Roman"/>
          <w:color w:val="000000" w:themeColor="text1"/>
          <w:sz w:val="24"/>
          <w:szCs w:val="24"/>
        </w:rPr>
        <w:t xml:space="preserve"> mana </w:t>
      </w:r>
      <w:proofErr w:type="spellStart"/>
      <w:r w:rsidR="004F0846" w:rsidRPr="00B14ED8">
        <w:rPr>
          <w:rFonts w:ascii="Times New Roman" w:hAnsi="Times New Roman" w:cs="Times New Roman"/>
          <w:color w:val="000000" w:themeColor="text1"/>
          <w:sz w:val="24"/>
          <w:szCs w:val="24"/>
        </w:rPr>
        <w:t>pemilik</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atau</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manajer</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dapat</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lastRenderedPageBreak/>
        <w:t>mengoptimalkan</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penggunaan</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aset</w:t>
      </w:r>
      <w:proofErr w:type="spellEnd"/>
      <w:r w:rsidR="004F0846"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perusahaan</w:t>
      </w:r>
      <w:proofErr w:type="spellEnd"/>
      <w:r w:rsidR="004F0846" w:rsidRPr="00B14ED8">
        <w:rPr>
          <w:rFonts w:ascii="Times New Roman" w:hAnsi="Times New Roman" w:cs="Times New Roman"/>
          <w:color w:val="000000" w:themeColor="text1"/>
          <w:sz w:val="24"/>
          <w:szCs w:val="24"/>
        </w:rPr>
        <w:t xml:space="preserve"> </w:t>
      </w:r>
      <w:proofErr w:type="spellStart"/>
      <w:r w:rsidR="00116230" w:rsidRPr="00B14ED8">
        <w:rPr>
          <w:rFonts w:ascii="Times New Roman" w:hAnsi="Times New Roman" w:cs="Times New Roman"/>
          <w:color w:val="000000" w:themeColor="text1"/>
          <w:sz w:val="24"/>
          <w:szCs w:val="24"/>
        </w:rPr>
        <w:t>untuk</w:t>
      </w:r>
      <w:proofErr w:type="spellEnd"/>
      <w:r w:rsidR="00116230" w:rsidRPr="00B14ED8">
        <w:rPr>
          <w:rFonts w:ascii="Times New Roman" w:hAnsi="Times New Roman" w:cs="Times New Roman"/>
          <w:color w:val="000000" w:themeColor="text1"/>
          <w:sz w:val="24"/>
          <w:szCs w:val="24"/>
        </w:rPr>
        <w:t xml:space="preserve"> </w:t>
      </w:r>
      <w:proofErr w:type="spellStart"/>
      <w:r w:rsidR="00116230" w:rsidRPr="00B14ED8">
        <w:rPr>
          <w:rFonts w:ascii="Times New Roman" w:hAnsi="Times New Roman" w:cs="Times New Roman"/>
          <w:color w:val="000000" w:themeColor="text1"/>
          <w:sz w:val="24"/>
          <w:szCs w:val="24"/>
        </w:rPr>
        <w:t>menghasilkan</w:t>
      </w:r>
      <w:proofErr w:type="spellEnd"/>
      <w:r w:rsidR="00116230" w:rsidRPr="00B14ED8">
        <w:rPr>
          <w:rFonts w:ascii="Times New Roman" w:hAnsi="Times New Roman" w:cs="Times New Roman"/>
          <w:color w:val="000000" w:themeColor="text1"/>
          <w:sz w:val="24"/>
          <w:szCs w:val="24"/>
        </w:rPr>
        <w:t xml:space="preserve"> </w:t>
      </w:r>
      <w:proofErr w:type="spellStart"/>
      <w:r w:rsidR="004F0846" w:rsidRPr="00B14ED8">
        <w:rPr>
          <w:rFonts w:ascii="Times New Roman" w:hAnsi="Times New Roman" w:cs="Times New Roman"/>
          <w:color w:val="000000" w:themeColor="text1"/>
          <w:sz w:val="24"/>
          <w:szCs w:val="24"/>
        </w:rPr>
        <w:t>pendapatan</w:t>
      </w:r>
      <w:proofErr w:type="spellEnd"/>
      <w:r w:rsidR="004F0846" w:rsidRPr="00B14ED8">
        <w:rPr>
          <w:rFonts w:ascii="Times New Roman" w:hAnsi="Times New Roman" w:cs="Times New Roman"/>
          <w:color w:val="000000" w:themeColor="text1"/>
          <w:sz w:val="24"/>
          <w:szCs w:val="24"/>
        </w:rPr>
        <w:t>.</w:t>
      </w:r>
      <w:r w:rsidR="00DA37E6" w:rsidRPr="00B14ED8">
        <w:rPr>
          <w:rFonts w:ascii="Times New Roman" w:hAnsi="Times New Roman" w:cs="Times New Roman"/>
          <w:color w:val="000000" w:themeColor="text1"/>
          <w:sz w:val="24"/>
          <w:szCs w:val="24"/>
        </w:rPr>
        <w:t xml:space="preserve"> </w:t>
      </w:r>
      <w:proofErr w:type="spellStart"/>
      <w:r w:rsidR="00C505AD" w:rsidRPr="00B14ED8">
        <w:rPr>
          <w:rFonts w:ascii="Times New Roman" w:hAnsi="Times New Roman" w:cs="Times New Roman"/>
          <w:color w:val="000000" w:themeColor="text1"/>
          <w:sz w:val="24"/>
          <w:szCs w:val="24"/>
        </w:rPr>
        <w:t>Indikat</w:t>
      </w:r>
      <w:r w:rsidR="001B64B3" w:rsidRPr="00B14ED8">
        <w:rPr>
          <w:rFonts w:ascii="Times New Roman" w:hAnsi="Times New Roman" w:cs="Times New Roman"/>
          <w:color w:val="000000" w:themeColor="text1"/>
          <w:sz w:val="24"/>
          <w:szCs w:val="24"/>
        </w:rPr>
        <w:t>or</w:t>
      </w:r>
      <w:proofErr w:type="spellEnd"/>
      <w:r w:rsidR="001B64B3" w:rsidRPr="00B14ED8">
        <w:rPr>
          <w:rFonts w:ascii="Times New Roman" w:hAnsi="Times New Roman" w:cs="Times New Roman"/>
          <w:color w:val="000000" w:themeColor="text1"/>
          <w:sz w:val="24"/>
          <w:szCs w:val="24"/>
        </w:rPr>
        <w:t xml:space="preserve"> </w:t>
      </w:r>
      <w:proofErr w:type="spellStart"/>
      <w:r w:rsidR="001B64B3" w:rsidRPr="00B14ED8">
        <w:rPr>
          <w:rFonts w:ascii="Times New Roman" w:hAnsi="Times New Roman" w:cs="Times New Roman"/>
          <w:color w:val="000000" w:themeColor="text1"/>
          <w:sz w:val="24"/>
          <w:szCs w:val="24"/>
        </w:rPr>
        <w:t>kinerja</w:t>
      </w:r>
      <w:proofErr w:type="spellEnd"/>
      <w:r w:rsidR="001B64B3" w:rsidRPr="00B14ED8">
        <w:rPr>
          <w:rFonts w:ascii="Times New Roman" w:hAnsi="Times New Roman" w:cs="Times New Roman"/>
          <w:color w:val="000000" w:themeColor="text1"/>
          <w:sz w:val="24"/>
          <w:szCs w:val="24"/>
        </w:rPr>
        <w:t xml:space="preserve"> </w:t>
      </w:r>
      <w:proofErr w:type="spellStart"/>
      <w:r w:rsidR="001B64B3" w:rsidRPr="00B14ED8">
        <w:rPr>
          <w:rFonts w:ascii="Times New Roman" w:hAnsi="Times New Roman" w:cs="Times New Roman"/>
          <w:color w:val="000000" w:themeColor="text1"/>
          <w:sz w:val="24"/>
          <w:szCs w:val="24"/>
        </w:rPr>
        <w:t>keuangan</w:t>
      </w:r>
      <w:proofErr w:type="spellEnd"/>
      <w:r w:rsidR="001B64B3" w:rsidRPr="00B14ED8">
        <w:rPr>
          <w:rFonts w:ascii="Times New Roman" w:hAnsi="Times New Roman" w:cs="Times New Roman"/>
          <w:color w:val="000000" w:themeColor="text1"/>
          <w:sz w:val="24"/>
          <w:szCs w:val="24"/>
        </w:rPr>
        <w:t xml:space="preserve"> pada </w:t>
      </w:r>
      <w:proofErr w:type="spellStart"/>
      <w:r w:rsidR="001B64B3" w:rsidRPr="00B14ED8">
        <w:rPr>
          <w:rFonts w:ascii="Times New Roman" w:hAnsi="Times New Roman" w:cs="Times New Roman"/>
          <w:color w:val="000000" w:themeColor="text1"/>
          <w:sz w:val="24"/>
          <w:szCs w:val="24"/>
        </w:rPr>
        <w:t>penelitian</w:t>
      </w:r>
      <w:proofErr w:type="spellEnd"/>
      <w:r w:rsidR="001B64B3" w:rsidRPr="00B14ED8">
        <w:rPr>
          <w:rFonts w:ascii="Times New Roman" w:hAnsi="Times New Roman" w:cs="Times New Roman"/>
          <w:color w:val="000000" w:themeColor="text1"/>
          <w:sz w:val="24"/>
          <w:szCs w:val="24"/>
        </w:rPr>
        <w:t xml:space="preserve"> </w:t>
      </w:r>
      <w:proofErr w:type="spellStart"/>
      <w:r w:rsidR="001B64B3" w:rsidRPr="00B14ED8">
        <w:rPr>
          <w:rFonts w:ascii="Times New Roman" w:hAnsi="Times New Roman" w:cs="Times New Roman"/>
          <w:color w:val="000000" w:themeColor="text1"/>
          <w:sz w:val="24"/>
          <w:szCs w:val="24"/>
        </w:rPr>
        <w:t>ini</w:t>
      </w:r>
      <w:proofErr w:type="spellEnd"/>
      <w:r w:rsidR="001B64B3" w:rsidRPr="00B14ED8">
        <w:rPr>
          <w:rFonts w:ascii="Times New Roman" w:hAnsi="Times New Roman" w:cs="Times New Roman"/>
          <w:color w:val="000000" w:themeColor="text1"/>
          <w:sz w:val="24"/>
          <w:szCs w:val="24"/>
        </w:rPr>
        <w:t xml:space="preserve">, </w:t>
      </w:r>
      <w:proofErr w:type="spellStart"/>
      <w:r w:rsidR="001B64B3" w:rsidRPr="00B14ED8">
        <w:rPr>
          <w:rFonts w:ascii="Times New Roman" w:hAnsi="Times New Roman" w:cs="Times New Roman"/>
          <w:color w:val="000000" w:themeColor="text1"/>
          <w:sz w:val="24"/>
          <w:szCs w:val="24"/>
        </w:rPr>
        <w:t>menggunakan</w:t>
      </w:r>
      <w:proofErr w:type="spellEnd"/>
      <w:r w:rsidR="001B64B3" w:rsidRPr="00B14ED8">
        <w:rPr>
          <w:rFonts w:ascii="Times New Roman" w:hAnsi="Times New Roman" w:cs="Times New Roman"/>
          <w:color w:val="000000" w:themeColor="text1"/>
          <w:sz w:val="24"/>
          <w:szCs w:val="24"/>
        </w:rPr>
        <w:t xml:space="preserve"> </w:t>
      </w:r>
      <w:proofErr w:type="spellStart"/>
      <w:r w:rsidR="001B64B3" w:rsidRPr="00B14ED8">
        <w:rPr>
          <w:rFonts w:ascii="Times New Roman" w:hAnsi="Times New Roman" w:cs="Times New Roman"/>
          <w:color w:val="000000" w:themeColor="text1"/>
          <w:sz w:val="24"/>
          <w:szCs w:val="24"/>
        </w:rPr>
        <w:t>nilai</w:t>
      </w:r>
      <w:proofErr w:type="spellEnd"/>
      <w:r w:rsidR="001B64B3" w:rsidRPr="00B14ED8">
        <w:rPr>
          <w:rFonts w:ascii="Times New Roman" w:hAnsi="Times New Roman" w:cs="Times New Roman"/>
          <w:color w:val="000000" w:themeColor="text1"/>
          <w:sz w:val="24"/>
          <w:szCs w:val="24"/>
        </w:rPr>
        <w:t xml:space="preserve"> </w:t>
      </w:r>
      <w:r w:rsidR="001B64B3" w:rsidRPr="00B14ED8">
        <w:rPr>
          <w:rFonts w:ascii="Times New Roman" w:hAnsi="Times New Roman" w:cs="Times New Roman"/>
          <w:i/>
          <w:iCs/>
          <w:color w:val="000000" w:themeColor="text1"/>
          <w:sz w:val="24"/>
          <w:szCs w:val="24"/>
        </w:rPr>
        <w:t xml:space="preserve">return on asset </w:t>
      </w:r>
      <w:r w:rsidR="003A14F4" w:rsidRPr="00B14ED8">
        <w:rPr>
          <w:rFonts w:ascii="Times New Roman" w:hAnsi="Times New Roman" w:cs="Times New Roman"/>
          <w:color w:val="000000" w:themeColor="text1"/>
          <w:sz w:val="24"/>
          <w:szCs w:val="24"/>
        </w:rPr>
        <w:t xml:space="preserve">(ROA) </w:t>
      </w:r>
      <w:proofErr w:type="spellStart"/>
      <w:r w:rsidR="003A14F4" w:rsidRPr="00B14ED8">
        <w:rPr>
          <w:rFonts w:ascii="Times New Roman" w:hAnsi="Times New Roman" w:cs="Times New Roman"/>
          <w:color w:val="000000" w:themeColor="text1"/>
          <w:sz w:val="24"/>
          <w:szCs w:val="24"/>
        </w:rPr>
        <w:t>dengan</w:t>
      </w:r>
      <w:proofErr w:type="spellEnd"/>
      <w:r w:rsidR="003A14F4" w:rsidRPr="00B14ED8">
        <w:rPr>
          <w:rFonts w:ascii="Times New Roman" w:hAnsi="Times New Roman" w:cs="Times New Roman"/>
          <w:color w:val="000000" w:themeColor="text1"/>
          <w:sz w:val="24"/>
          <w:szCs w:val="24"/>
        </w:rPr>
        <w:t xml:space="preserve"> </w:t>
      </w:r>
      <w:proofErr w:type="spellStart"/>
      <w:r w:rsidR="003A14F4" w:rsidRPr="00B14ED8">
        <w:rPr>
          <w:rFonts w:ascii="Times New Roman" w:hAnsi="Times New Roman" w:cs="Times New Roman"/>
          <w:color w:val="000000" w:themeColor="text1"/>
          <w:sz w:val="24"/>
          <w:szCs w:val="24"/>
        </w:rPr>
        <w:t>metode</w:t>
      </w:r>
      <w:proofErr w:type="spellEnd"/>
      <w:r w:rsidR="003A14F4" w:rsidRPr="00B14ED8">
        <w:rPr>
          <w:rFonts w:ascii="Times New Roman" w:hAnsi="Times New Roman" w:cs="Times New Roman"/>
          <w:color w:val="000000" w:themeColor="text1"/>
          <w:sz w:val="24"/>
          <w:szCs w:val="24"/>
        </w:rPr>
        <w:t xml:space="preserve"> </w:t>
      </w:r>
      <w:proofErr w:type="spellStart"/>
      <w:r w:rsidR="003A14F4" w:rsidRPr="00B14ED8">
        <w:rPr>
          <w:rFonts w:ascii="Times New Roman" w:hAnsi="Times New Roman" w:cs="Times New Roman"/>
          <w:color w:val="000000" w:themeColor="text1"/>
          <w:sz w:val="24"/>
          <w:szCs w:val="24"/>
        </w:rPr>
        <w:t>penghitungan</w:t>
      </w:r>
      <w:proofErr w:type="spellEnd"/>
      <w:r w:rsidR="003A14F4" w:rsidRPr="00B14ED8">
        <w:rPr>
          <w:rFonts w:ascii="Times New Roman" w:hAnsi="Times New Roman" w:cs="Times New Roman"/>
          <w:color w:val="000000" w:themeColor="text1"/>
          <w:sz w:val="24"/>
          <w:szCs w:val="24"/>
        </w:rPr>
        <w:t xml:space="preserve"> </w:t>
      </w:r>
      <w:proofErr w:type="spellStart"/>
      <w:r w:rsidR="003A14F4" w:rsidRPr="00B14ED8">
        <w:rPr>
          <w:rFonts w:ascii="Times New Roman" w:hAnsi="Times New Roman" w:cs="Times New Roman"/>
          <w:color w:val="000000" w:themeColor="text1"/>
          <w:sz w:val="24"/>
          <w:szCs w:val="24"/>
        </w:rPr>
        <w:t>sebagai</w:t>
      </w:r>
      <w:proofErr w:type="spellEnd"/>
      <w:r w:rsidR="003A14F4" w:rsidRPr="00B14ED8">
        <w:rPr>
          <w:rFonts w:ascii="Times New Roman" w:hAnsi="Times New Roman" w:cs="Times New Roman"/>
          <w:color w:val="000000" w:themeColor="text1"/>
          <w:sz w:val="24"/>
          <w:szCs w:val="24"/>
        </w:rPr>
        <w:t xml:space="preserve"> </w:t>
      </w:r>
      <w:proofErr w:type="spellStart"/>
      <w:r w:rsidR="003A14F4" w:rsidRPr="00B14ED8">
        <w:rPr>
          <w:rFonts w:ascii="Times New Roman" w:hAnsi="Times New Roman" w:cs="Times New Roman"/>
          <w:color w:val="000000" w:themeColor="text1"/>
          <w:sz w:val="24"/>
          <w:szCs w:val="24"/>
        </w:rPr>
        <w:t>berikut</w:t>
      </w:r>
      <w:proofErr w:type="spellEnd"/>
      <w:r w:rsidR="00317FB6" w:rsidRPr="00B14ED8">
        <w:rPr>
          <w:rFonts w:ascii="Times New Roman" w:hAnsi="Times New Roman" w:cs="Times New Roman"/>
          <w:color w:val="000000" w:themeColor="text1"/>
          <w:sz w:val="24"/>
          <w:szCs w:val="24"/>
        </w:rPr>
        <w:fldChar w:fldCharType="begin" w:fldLock="1"/>
      </w:r>
      <w:r w:rsidR="00823132" w:rsidRPr="00B14ED8">
        <w:rPr>
          <w:rFonts w:ascii="Times New Roman" w:hAnsi="Times New Roman" w:cs="Times New Roman"/>
          <w:color w:val="000000" w:themeColor="text1"/>
          <w:sz w:val="24"/>
          <w:szCs w:val="24"/>
        </w:rPr>
        <w:instrText>ADDIN CSL_CITATION {"citationItems":[{"id":"ITEM-1","itemData":{"DOI":"10.1108/JAAR-02-2021-0036","ISSN":"09675426","abstract":"Purpose: The paper aims to examine if corporate characteristics, general contextual factors and the internal context differentiate the quality and quantity of the disclosed non-financial Key Performance Indicators (KPIs). Design/methodology/approach: The study is based on content analysis of the disclosures provided by large public interest entities operating in Poland after the introduction of the Directive 2014/95/EU. The quality of the KPIs disclosures is measured with the disclosure index. Regression analysis and selected statistical tests are used to examine the influence of the selected factors on the differences in the index value and corporate disclosure choices as regards the KPIs. Findings: The study findings indicate that the sample companies provide a variety of non-financial KPIs in a manner that makes their effective comparison difficult. The research confirms that mainly industry, ecologists and the reporting standard determine the significant differences in the quality of the KPIs disclosures and the quantity of presented KPIs. Research limitations/implications: The paper adds to the understanding of the differences in the quality of KPIs presentation and the choice of disclosed KPIs. Practical implications: The paper includes suggestions on how to change corporate practice with regard to the non-financial KPIs disclosures. Originality/value: We shed additional light on the importance of internal contextual factors such as the reporting standard and the reporters' experience in providing non-financial KPIs disclosures.","author":[{"dropping-particle":"","family":"Zarzycka","given":"Ewelina","non-dropping-particle":"","parse-names":false,"suffix":""},{"dropping-particle":"","family":"Krasodomska","given":"Joanna","non-dropping-particle":"","parse-names":false,"suffix":""}],"container-title":"Journal of Applied Accounting Research","id":"ITEM-1","issue":"1","issued":{"date-parts":[["2022"]]},"page":"139-162","title":"Non-financial key performance indicators: what determines the differences in the quality and quantity of the disclosures?","type":"article-journal","volume":"23"},"uris":["http://www.mendeley.com/documents/?uuid=43c40c35-80bd-496a-9124-64d670147824"]}],"mendeley":{"formattedCitation":"(Zarzycka &amp; Krasodomska, 2022)","plainTextFormattedCitation":"(Zarzycka &amp; Krasodomska, 2022)","previouslyFormattedCitation":"(Zarzycka &amp; Krasodomska, 2022)"},"properties":{"noteIndex":0},"schema":"https://github.com/citation-style-language/schema/raw/master/csl-citation.json"}</w:instrText>
      </w:r>
      <w:r w:rsidR="00317FB6" w:rsidRPr="00B14ED8">
        <w:rPr>
          <w:rFonts w:ascii="Times New Roman" w:hAnsi="Times New Roman" w:cs="Times New Roman"/>
          <w:color w:val="000000" w:themeColor="text1"/>
          <w:sz w:val="24"/>
          <w:szCs w:val="24"/>
        </w:rPr>
        <w:fldChar w:fldCharType="separate"/>
      </w:r>
      <w:r w:rsidR="00317FB6" w:rsidRPr="00B14ED8">
        <w:rPr>
          <w:rFonts w:ascii="Times New Roman" w:hAnsi="Times New Roman" w:cs="Times New Roman"/>
          <w:noProof/>
          <w:color w:val="000000" w:themeColor="text1"/>
          <w:sz w:val="24"/>
          <w:szCs w:val="24"/>
        </w:rPr>
        <w:t>(Zarzycka &amp; Krasodomska, 2022)</w:t>
      </w:r>
      <w:r w:rsidR="00317FB6" w:rsidRPr="00B14ED8">
        <w:rPr>
          <w:rFonts w:ascii="Times New Roman" w:hAnsi="Times New Roman" w:cs="Times New Roman"/>
          <w:color w:val="000000" w:themeColor="text1"/>
          <w:sz w:val="24"/>
          <w:szCs w:val="24"/>
        </w:rPr>
        <w:fldChar w:fldCharType="end"/>
      </w:r>
      <w:r w:rsidR="003A14F4" w:rsidRPr="00B14ED8">
        <w:rPr>
          <w:rFonts w:ascii="Times New Roman" w:hAnsi="Times New Roman" w:cs="Times New Roman"/>
          <w:color w:val="000000" w:themeColor="text1"/>
          <w:sz w:val="24"/>
          <w:szCs w:val="24"/>
        </w:rPr>
        <w:t>:</w:t>
      </w:r>
    </w:p>
    <w:p w14:paraId="60E42FA4" w14:textId="77777777" w:rsidR="00AC6672" w:rsidRPr="00B14ED8" w:rsidRDefault="00AC6672" w:rsidP="00B14ED8">
      <w:pPr>
        <w:pStyle w:val="ListParagraph"/>
        <w:spacing w:after="0" w:line="360" w:lineRule="auto"/>
        <w:ind w:left="0"/>
        <w:jc w:val="both"/>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m:t xml:space="preserve">ROA=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Earning After Tax</m:t>
              </m:r>
            </m:num>
            <m:den>
              <m:r>
                <w:rPr>
                  <w:rFonts w:ascii="Cambria Math" w:hAnsi="Cambria Math" w:cs="Times New Roman"/>
                  <w:color w:val="000000" w:themeColor="text1"/>
                  <w:sz w:val="24"/>
                  <w:szCs w:val="24"/>
                </w:rPr>
                <m:t>Total Assets</m:t>
              </m:r>
            </m:den>
          </m:f>
          <m:r>
            <w:rPr>
              <w:rFonts w:ascii="Cambria Math" w:hAnsi="Cambria Math" w:cs="Times New Roman"/>
              <w:color w:val="000000" w:themeColor="text1"/>
              <w:sz w:val="24"/>
              <w:szCs w:val="24"/>
            </w:rPr>
            <m:t>x 100 %</m:t>
          </m:r>
        </m:oMath>
      </m:oMathPara>
    </w:p>
    <w:p w14:paraId="6334BCA7" w14:textId="68A13291" w:rsidR="00FB30E1" w:rsidRPr="00B14ED8" w:rsidRDefault="008D7D30" w:rsidP="00B14ED8">
      <w:pPr>
        <w:spacing w:after="0" w:line="360" w:lineRule="auto"/>
        <w:jc w:val="both"/>
        <w:rPr>
          <w:rFonts w:ascii="Times New Roman" w:eastAsia="Times New Roman" w:hAnsi="Times New Roman" w:cs="Times New Roman"/>
          <w:b/>
          <w:bCs/>
          <w:sz w:val="24"/>
          <w:szCs w:val="24"/>
        </w:rPr>
      </w:pPr>
      <w:r w:rsidRPr="00B14ED8">
        <w:rPr>
          <w:rFonts w:ascii="Times New Roman" w:eastAsia="Times New Roman" w:hAnsi="Times New Roman" w:cs="Times New Roman"/>
          <w:b/>
          <w:bCs/>
          <w:sz w:val="24"/>
          <w:szCs w:val="24"/>
        </w:rPr>
        <w:t xml:space="preserve">Kajian </w:t>
      </w:r>
      <w:proofErr w:type="spellStart"/>
      <w:r w:rsidRPr="00B14ED8">
        <w:rPr>
          <w:rFonts w:ascii="Times New Roman" w:eastAsia="Times New Roman" w:hAnsi="Times New Roman" w:cs="Times New Roman"/>
          <w:b/>
          <w:bCs/>
          <w:sz w:val="24"/>
          <w:szCs w:val="24"/>
        </w:rPr>
        <w:t>Literatur</w:t>
      </w:r>
      <w:proofErr w:type="spellEnd"/>
    </w:p>
    <w:p w14:paraId="291A0A24" w14:textId="07426A88" w:rsidR="0067432C" w:rsidRPr="00B14ED8" w:rsidRDefault="00980C1C" w:rsidP="00B14ED8">
      <w:pPr>
        <w:tabs>
          <w:tab w:val="left" w:pos="567"/>
        </w:tabs>
        <w:spacing w:after="0" w:line="360" w:lineRule="auto"/>
        <w:jc w:val="both"/>
        <w:rPr>
          <w:rFonts w:ascii="Times New Roman" w:eastAsia="Times New Roman" w:hAnsi="Times New Roman" w:cs="Times New Roman"/>
          <w:b/>
          <w:bCs/>
          <w:sz w:val="24"/>
          <w:szCs w:val="24"/>
        </w:rPr>
      </w:pPr>
      <w:proofErr w:type="spellStart"/>
      <w:r w:rsidRPr="00B14ED8">
        <w:rPr>
          <w:rFonts w:ascii="Times New Roman" w:eastAsia="Times New Roman" w:hAnsi="Times New Roman" w:cs="Times New Roman"/>
          <w:b/>
          <w:bCs/>
          <w:sz w:val="24"/>
          <w:szCs w:val="24"/>
        </w:rPr>
        <w:t>Hubungan</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Pembiayaan</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i/>
          <w:iCs/>
          <w:sz w:val="24"/>
          <w:szCs w:val="24"/>
        </w:rPr>
        <w:t>Mudharabah</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terhadap</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Kinerja</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Keuangan</w:t>
      </w:r>
      <w:proofErr w:type="spellEnd"/>
    </w:p>
    <w:p w14:paraId="30614FF9" w14:textId="22DE3C58" w:rsidR="00980C1C" w:rsidRPr="00B14ED8" w:rsidRDefault="00823132" w:rsidP="00B14ED8">
      <w:pPr>
        <w:tabs>
          <w:tab w:val="left" w:pos="567"/>
        </w:tabs>
        <w:spacing w:after="0" w:line="360" w:lineRule="auto"/>
        <w:ind w:firstLine="567"/>
        <w:jc w:val="both"/>
        <w:rPr>
          <w:rFonts w:ascii="Times New Roman" w:eastAsia="Times New Roman" w:hAnsi="Times New Roman" w:cs="Times New Roman"/>
          <w:sz w:val="24"/>
          <w:szCs w:val="24"/>
        </w:rPr>
      </w:pPr>
      <w:proofErr w:type="spellStart"/>
      <w:r w:rsidRPr="00B14ED8">
        <w:rPr>
          <w:rFonts w:ascii="Times New Roman" w:eastAsia="Times New Roman" w:hAnsi="Times New Roman" w:cs="Times New Roman"/>
          <w:sz w:val="24"/>
          <w:szCs w:val="24"/>
        </w:rPr>
        <w:t>Penelitian</w:t>
      </w:r>
      <w:proofErr w:type="spellEnd"/>
      <w:r w:rsidR="00DC335C" w:rsidRPr="00B14ED8">
        <w:rPr>
          <w:rFonts w:ascii="Times New Roman" w:eastAsia="Times New Roman" w:hAnsi="Times New Roman" w:cs="Times New Roman"/>
          <w:sz w:val="24"/>
          <w:szCs w:val="24"/>
        </w:rPr>
        <w:t xml:space="preserve"> </w:t>
      </w:r>
      <w:r w:rsidRPr="00B14ED8">
        <w:rPr>
          <w:rFonts w:ascii="Times New Roman" w:eastAsia="Times New Roman" w:hAnsi="Times New Roman" w:cs="Times New Roman"/>
          <w:sz w:val="24"/>
          <w:szCs w:val="24"/>
        </w:rPr>
        <w:fldChar w:fldCharType="begin" w:fldLock="1"/>
      </w:r>
      <w:r w:rsidR="00FA7CA5" w:rsidRPr="00B14ED8">
        <w:rPr>
          <w:rFonts w:ascii="Times New Roman" w:eastAsia="Times New Roman" w:hAnsi="Times New Roman" w:cs="Times New Roman"/>
          <w:sz w:val="24"/>
          <w:szCs w:val="24"/>
        </w:rPr>
        <w:instrText>ADDIN CSL_CITATION {"citationItems":[{"id":"ITEM-1","itemData":{"DOI":"10.31538/iijse.v5i1.1969","abstract":"The study aims to determine the effect of Mudharabah and Musyarakah financing on profitability of Islamic banks in Indonesia. Profitability is measured by using ROA. The population used in this study is Islamic banks registered in Bank Indonesia from 2016 to 2020, and by using purposive sampling technique. The researchers obtained 8 Islamic banks that meet the criteria. The study uses MRA (Multivariate Regression Analysis) with the following results: the Mudharabah variable has a tcount = 5.812 and a ttable = 2.026 (tcount &gt; ttable) with a significance level of 0.000001 &lt; 0.05. Thus, H1 is accepted, Mudharabah has a significant positive effect on profitability of Islamic bank. The Musyarakah variable has a tcount = -3.120 and a ttable = 2.026 (tcount &gt; ttable) with a significance level of 0.003498 &lt; 0.05. Therefore, H2 is accepted, Musyarakah has a significant negative effect on profitability of Islamic banks.","author":[{"dropping-particle":"","family":"El","given":"Iqbal Maulana","non-dropping-particle":"","parse-names":false,"suffix":""},{"dropping-particle":"","family":"Masyhuri","given":"Masyhuri","non-dropping-particle":"","parse-names":false,"suffix":""},{"dropping-particle":"","family":"Yuliana","given":"Indah","non-dropping-particle":"","parse-names":false,"suffix":""}],"container-title":"Indonesian Interdisciplinary Journal of Sharia Economics (IIJSE)","id":"ITEM-1","issue":"1","issued":{"date-parts":[["2022"]]},"page":"225-234","title":"The Effect of Mudharabah and Musyarakah Financing on Profitability of Islamic Banks in Indonesia","type":"article-journal","volume":"5"},"uris":["http://www.mendeley.com/documents/?uuid=179b3d4c-5623-480e-8e76-b2e05d99bfdc"]},{"id":"ITEM-2","itemData":{"DOI":"10.20525/ijfbs.v10i3.1329","abstract":"This research was conducted to determine the effect of mudharabah and musharakah financing on net profit of Islamic commercial banks in Indonesia. This study uses the annual financial statements of Islamic commercial banks obtained from the Financial Services Authority and annual reports on the website of Islamic commercial banks for the period 2010-2019. The test results found that mudharabah financing had a significant effect on the net profit of Islamic banks, this also strengthened Islamic social responsibility of Islamic commercial banks. But unlike mudharabah financing, musharakah financing actually has a negative effect on the net profit of Islamic commercial banks, which means that the higher the Islamic bank distributes musharakah financing, the rate of profit will decrease which results in the weakening of Islamic social responsibility disclosure. It is recommended that Islamic banks exercise greater caution when selecting consumers for mudharabah financing, as this type of financing carries a higher risk but also a higher profit share if the financing is successful. This research has a limitation in that it focuses exclusively on Islamic commercial banks in Indonesia, although additional research might be conducted by sampling Sharia Business Unit and Sharia Rural Bank.","author":[{"dropping-particle":"","family":"Faisal","given":"Yusuf","non-dropping-particle":"","parse-names":false,"suffix":""},{"dropping-particle":"","family":"Ratnawati","given":"Nirdukita","non-dropping-particle":"","parse-names":false,"suffix":""},{"dropping-particle":"","family":"Sari","given":"Egi Gumala","non-dropping-particle":"","parse-names":false,"suffix":""}],"container-title":"International Journal of Finance &amp; Banking Studies (2147-4486)","id":"ITEM-2","issue":"3","issued":{"date-parts":[["2021"]]},"page":"84-91","title":"Profit Islamic Bank from Mudharabah and Musharakah Finance with Islamic Social Responsibility Disclosure","type":"article-journal","volume":"10"},"uris":["http://www.mendeley.com/documents/?uuid=0f9b79a4-b79b-4489-926c-5ee1b0b8d181"]},{"id":"ITEM-3","itemData":{"DOI":"10.55047/cashflow.v1i3.194","ISSN":"2809-848X","abstract":"This research aims to analyze and empirically test the influence of ijarah revenue, mudharabah financing and third-party funds to the profitability of ROA of Islamic Commercial Bank contained in the Financial Services Authority for the 2016-2020 period. The research method used is a quantitative research method because this study uses numbers with statistical calculations and aims to test the hypotheses that have been made. The independent variables in this study were ijarah revenue, mudharabah financing and third-party funds while the dependent variable in this study was profitability (ROA). The research population is Islamic banking registered with the Financial Services Authority (OJK) in 2016-2020, with sample selection using purposive sampling techniques. Therefore, data on the monthly financial statements of Islamic Commercial Banks were obtained which were summarized in the Islamic Banking Statistics for the period 2016-2020, so that 60 research samples were obtained. Data collection techniques in this research use documentation and literature studies. The data analysis techniques used in this study are descriptive statistics, multiple regression analysis, classical assumption tests, determination coefficient tests and hypothesis testing using the EViews 12 analysis tool. Test F results show that ijarah revenue, mudharabah financing and third-party funds simultaneously have a significant effect on profitability (ROA). Meanwhile, T test reveals that ijarah revenue partially had a positive and significant effect on profitability (ROA), while mudharabah financing partially had a negative and significant effect on profitability (ROA) and third-party funds partially had a positive and significant effect on profitability (ROA).","author":[{"dropping-particle":"","family":"Addawami","given":"Ali Nafi’","non-dropping-particle":"","parse-names":false,"suffix":""},{"dropping-particle":"","family":"Zamzami","given":"R. Mohd.","non-dropping-particle":"","parse-names":false,"suffix":""}],"container-title":"Cashflow : Current Advanced Research on Sharia Finance and Economic Worldwide","id":"ITEM-3","issue":"3","issued":{"date-parts":[["2022"]]},"page":"37-59","title":"Effect of Ijarah Revenue, Mudharabah Financing and Third-Party Funds on the Profitability of Islamic Commercial Banks","type":"article-journal","volume":"1"},"uris":["http://www.mendeley.com/documents/?uuid=3806a76c-d9b6-43ce-a800-d73390af602a"]}],"mendeley":{"formattedCitation":"(Addawami &amp; Zamzami, 2022; El et al., 2022; Faisal et al., 2021)","manualFormatting":"Addawami &amp; Zamzami (2022); El et al (2022) serta Faisal et al (2021)","plainTextFormattedCitation":"(Addawami &amp; Zamzami, 2022; El et al., 2022; Faisal et al., 2021)","previouslyFormattedCitation":"(Addawami &amp; Zamzami, 2022; El et al., 2022; Faisal et al., 2021)"},"properties":{"noteIndex":0},"schema":"https://github.com/citation-style-language/schema/raw/master/csl-citation.json"}</w:instrText>
      </w:r>
      <w:r w:rsidRPr="00B14ED8">
        <w:rPr>
          <w:rFonts w:ascii="Times New Roman" w:eastAsia="Times New Roman" w:hAnsi="Times New Roman" w:cs="Times New Roman"/>
          <w:sz w:val="24"/>
          <w:szCs w:val="24"/>
        </w:rPr>
        <w:fldChar w:fldCharType="separate"/>
      </w:r>
      <w:r w:rsidR="006B1BED" w:rsidRPr="00B14ED8">
        <w:rPr>
          <w:rFonts w:ascii="Times New Roman" w:eastAsia="Times New Roman" w:hAnsi="Times New Roman" w:cs="Times New Roman"/>
          <w:noProof/>
          <w:sz w:val="24"/>
          <w:szCs w:val="24"/>
        </w:rPr>
        <w:t>Addawami &amp; Zamzami (2022); El et al (2022) serta Faisal et al (2021)</w:t>
      </w:r>
      <w:r w:rsidRPr="00B14ED8">
        <w:rPr>
          <w:rFonts w:ascii="Times New Roman" w:eastAsia="Times New Roman" w:hAnsi="Times New Roman" w:cs="Times New Roman"/>
          <w:sz w:val="24"/>
          <w:szCs w:val="24"/>
        </w:rPr>
        <w:fldChar w:fldCharType="end"/>
      </w:r>
      <w:r w:rsidR="00555918" w:rsidRPr="00B14ED8">
        <w:rPr>
          <w:rFonts w:ascii="Times New Roman" w:eastAsia="Times New Roman" w:hAnsi="Times New Roman" w:cs="Times New Roman"/>
          <w:sz w:val="24"/>
          <w:szCs w:val="24"/>
        </w:rPr>
        <w:t xml:space="preserve"> </w:t>
      </w:r>
      <w:proofErr w:type="spellStart"/>
      <w:r w:rsidR="00555918" w:rsidRPr="00B14ED8">
        <w:rPr>
          <w:rFonts w:ascii="Times New Roman" w:eastAsia="Times New Roman" w:hAnsi="Times New Roman" w:cs="Times New Roman"/>
          <w:sz w:val="24"/>
          <w:szCs w:val="24"/>
        </w:rPr>
        <w:t>menghasilkan</w:t>
      </w:r>
      <w:proofErr w:type="spellEnd"/>
      <w:r w:rsidR="00555918" w:rsidRPr="00B14ED8">
        <w:rPr>
          <w:rFonts w:ascii="Times New Roman" w:eastAsia="Times New Roman" w:hAnsi="Times New Roman" w:cs="Times New Roman"/>
          <w:sz w:val="24"/>
          <w:szCs w:val="24"/>
        </w:rPr>
        <w:t xml:space="preserve"> </w:t>
      </w:r>
      <w:proofErr w:type="spellStart"/>
      <w:r w:rsidR="00555918" w:rsidRPr="00B14ED8">
        <w:rPr>
          <w:rFonts w:ascii="Times New Roman" w:eastAsia="Times New Roman" w:hAnsi="Times New Roman" w:cs="Times New Roman"/>
          <w:sz w:val="24"/>
          <w:szCs w:val="24"/>
        </w:rPr>
        <w:t>kesimpulan</w:t>
      </w:r>
      <w:proofErr w:type="spellEnd"/>
      <w:r w:rsidR="00555918" w:rsidRPr="00B14ED8">
        <w:rPr>
          <w:rFonts w:ascii="Times New Roman" w:eastAsia="Times New Roman" w:hAnsi="Times New Roman" w:cs="Times New Roman"/>
          <w:sz w:val="24"/>
          <w:szCs w:val="24"/>
        </w:rPr>
        <w:t xml:space="preserve"> </w:t>
      </w:r>
      <w:proofErr w:type="spellStart"/>
      <w:r w:rsidR="00555918" w:rsidRPr="00B14ED8">
        <w:rPr>
          <w:rFonts w:ascii="Times New Roman" w:eastAsia="Times New Roman" w:hAnsi="Times New Roman" w:cs="Times New Roman"/>
          <w:sz w:val="24"/>
          <w:szCs w:val="24"/>
        </w:rPr>
        <w:t>bahwa</w:t>
      </w:r>
      <w:proofErr w:type="spellEnd"/>
      <w:r w:rsidR="00555918" w:rsidRPr="00B14ED8">
        <w:rPr>
          <w:rFonts w:ascii="Times New Roman" w:eastAsia="Times New Roman" w:hAnsi="Times New Roman" w:cs="Times New Roman"/>
          <w:sz w:val="24"/>
          <w:szCs w:val="24"/>
        </w:rPr>
        <w:t xml:space="preserve"> </w:t>
      </w:r>
      <w:proofErr w:type="spellStart"/>
      <w:r w:rsidR="007D46B8" w:rsidRPr="00B14ED8">
        <w:rPr>
          <w:rFonts w:ascii="Times New Roman" w:eastAsia="Times New Roman" w:hAnsi="Times New Roman" w:cs="Times New Roman"/>
          <w:sz w:val="24"/>
          <w:szCs w:val="24"/>
        </w:rPr>
        <w:t>pembiayaan</w:t>
      </w:r>
      <w:proofErr w:type="spellEnd"/>
      <w:r w:rsidR="007D46B8" w:rsidRPr="00B14ED8">
        <w:rPr>
          <w:rFonts w:ascii="Times New Roman" w:eastAsia="Times New Roman" w:hAnsi="Times New Roman" w:cs="Times New Roman"/>
          <w:sz w:val="24"/>
          <w:szCs w:val="24"/>
        </w:rPr>
        <w:t xml:space="preserve"> </w:t>
      </w:r>
      <w:proofErr w:type="spellStart"/>
      <w:r w:rsidR="007D46B8" w:rsidRPr="00B14ED8">
        <w:rPr>
          <w:rFonts w:ascii="Times New Roman" w:eastAsia="Times New Roman" w:hAnsi="Times New Roman" w:cs="Times New Roman"/>
          <w:i/>
          <w:iCs/>
          <w:sz w:val="24"/>
          <w:szCs w:val="24"/>
        </w:rPr>
        <w:t>mudharabah</w:t>
      </w:r>
      <w:proofErr w:type="spellEnd"/>
      <w:r w:rsidR="007D46B8" w:rsidRPr="00B14ED8">
        <w:rPr>
          <w:rFonts w:ascii="Times New Roman" w:eastAsia="Times New Roman" w:hAnsi="Times New Roman" w:cs="Times New Roman"/>
          <w:i/>
          <w:iCs/>
          <w:sz w:val="24"/>
          <w:szCs w:val="24"/>
        </w:rPr>
        <w:t xml:space="preserve"> </w:t>
      </w:r>
      <w:proofErr w:type="spellStart"/>
      <w:r w:rsidR="007D46B8" w:rsidRPr="00B14ED8">
        <w:rPr>
          <w:rFonts w:ascii="Times New Roman" w:eastAsia="Times New Roman" w:hAnsi="Times New Roman" w:cs="Times New Roman"/>
          <w:sz w:val="24"/>
          <w:szCs w:val="24"/>
        </w:rPr>
        <w:t>memberikan</w:t>
      </w:r>
      <w:proofErr w:type="spellEnd"/>
      <w:r w:rsidR="007D46B8" w:rsidRPr="00B14ED8">
        <w:rPr>
          <w:rFonts w:ascii="Times New Roman" w:eastAsia="Times New Roman" w:hAnsi="Times New Roman" w:cs="Times New Roman"/>
          <w:sz w:val="24"/>
          <w:szCs w:val="24"/>
        </w:rPr>
        <w:t xml:space="preserve"> </w:t>
      </w:r>
      <w:proofErr w:type="spellStart"/>
      <w:r w:rsidR="007D46B8" w:rsidRPr="00B14ED8">
        <w:rPr>
          <w:rFonts w:ascii="Times New Roman" w:eastAsia="Times New Roman" w:hAnsi="Times New Roman" w:cs="Times New Roman"/>
          <w:sz w:val="24"/>
          <w:szCs w:val="24"/>
        </w:rPr>
        <w:t>pengaruh</w:t>
      </w:r>
      <w:proofErr w:type="spellEnd"/>
      <w:r w:rsidR="007D46B8" w:rsidRPr="00B14ED8">
        <w:rPr>
          <w:rFonts w:ascii="Times New Roman" w:eastAsia="Times New Roman" w:hAnsi="Times New Roman" w:cs="Times New Roman"/>
          <w:sz w:val="24"/>
          <w:szCs w:val="24"/>
        </w:rPr>
        <w:t xml:space="preserve"> </w:t>
      </w:r>
      <w:proofErr w:type="spellStart"/>
      <w:r w:rsidR="007D46B8" w:rsidRPr="00B14ED8">
        <w:rPr>
          <w:rFonts w:ascii="Times New Roman" w:eastAsia="Times New Roman" w:hAnsi="Times New Roman" w:cs="Times New Roman"/>
          <w:sz w:val="24"/>
          <w:szCs w:val="24"/>
        </w:rPr>
        <w:t>positif</w:t>
      </w:r>
      <w:proofErr w:type="spellEnd"/>
      <w:r w:rsidR="007D46B8" w:rsidRPr="00B14ED8">
        <w:rPr>
          <w:rFonts w:ascii="Times New Roman" w:eastAsia="Times New Roman" w:hAnsi="Times New Roman" w:cs="Times New Roman"/>
          <w:sz w:val="24"/>
          <w:szCs w:val="24"/>
        </w:rPr>
        <w:t xml:space="preserve"> </w:t>
      </w:r>
      <w:proofErr w:type="spellStart"/>
      <w:r w:rsidR="007D46B8" w:rsidRPr="00B14ED8">
        <w:rPr>
          <w:rFonts w:ascii="Times New Roman" w:eastAsia="Times New Roman" w:hAnsi="Times New Roman" w:cs="Times New Roman"/>
          <w:sz w:val="24"/>
          <w:szCs w:val="24"/>
        </w:rPr>
        <w:t>signifikan</w:t>
      </w:r>
      <w:proofErr w:type="spellEnd"/>
      <w:r w:rsidR="007D46B8" w:rsidRPr="00B14ED8">
        <w:rPr>
          <w:rFonts w:ascii="Times New Roman" w:eastAsia="Times New Roman" w:hAnsi="Times New Roman" w:cs="Times New Roman"/>
          <w:sz w:val="24"/>
          <w:szCs w:val="24"/>
        </w:rPr>
        <w:t xml:space="preserve"> </w:t>
      </w:r>
      <w:proofErr w:type="spellStart"/>
      <w:r w:rsidR="007D46B8" w:rsidRPr="00B14ED8">
        <w:rPr>
          <w:rFonts w:ascii="Times New Roman" w:eastAsia="Times New Roman" w:hAnsi="Times New Roman" w:cs="Times New Roman"/>
          <w:sz w:val="24"/>
          <w:szCs w:val="24"/>
        </w:rPr>
        <w:t>terhadap</w:t>
      </w:r>
      <w:proofErr w:type="spellEnd"/>
      <w:r w:rsidR="007D46B8" w:rsidRPr="00B14ED8">
        <w:rPr>
          <w:rFonts w:ascii="Times New Roman" w:eastAsia="Times New Roman" w:hAnsi="Times New Roman" w:cs="Times New Roman"/>
          <w:sz w:val="24"/>
          <w:szCs w:val="24"/>
        </w:rPr>
        <w:t xml:space="preserve"> </w:t>
      </w:r>
      <w:proofErr w:type="spellStart"/>
      <w:r w:rsidR="007D46B8" w:rsidRPr="00B14ED8">
        <w:rPr>
          <w:rFonts w:ascii="Times New Roman" w:eastAsia="Times New Roman" w:hAnsi="Times New Roman" w:cs="Times New Roman"/>
          <w:sz w:val="24"/>
          <w:szCs w:val="24"/>
        </w:rPr>
        <w:t>kinerja</w:t>
      </w:r>
      <w:proofErr w:type="spellEnd"/>
      <w:r w:rsidR="007D46B8" w:rsidRPr="00B14ED8">
        <w:rPr>
          <w:rFonts w:ascii="Times New Roman" w:eastAsia="Times New Roman" w:hAnsi="Times New Roman" w:cs="Times New Roman"/>
          <w:sz w:val="24"/>
          <w:szCs w:val="24"/>
        </w:rPr>
        <w:t xml:space="preserve"> </w:t>
      </w:r>
      <w:proofErr w:type="spellStart"/>
      <w:r w:rsidR="007D46B8" w:rsidRPr="00B14ED8">
        <w:rPr>
          <w:rFonts w:ascii="Times New Roman" w:eastAsia="Times New Roman" w:hAnsi="Times New Roman" w:cs="Times New Roman"/>
          <w:sz w:val="24"/>
          <w:szCs w:val="24"/>
        </w:rPr>
        <w:t>keuangan</w:t>
      </w:r>
      <w:proofErr w:type="spellEnd"/>
      <w:r w:rsidR="007D46B8" w:rsidRPr="00B14ED8">
        <w:rPr>
          <w:rFonts w:ascii="Times New Roman" w:eastAsia="Times New Roman" w:hAnsi="Times New Roman" w:cs="Times New Roman"/>
          <w:sz w:val="24"/>
          <w:szCs w:val="24"/>
        </w:rPr>
        <w:t xml:space="preserve"> yang </w:t>
      </w:r>
      <w:proofErr w:type="spellStart"/>
      <w:r w:rsidR="007D46B8" w:rsidRPr="00B14ED8">
        <w:rPr>
          <w:rFonts w:ascii="Times New Roman" w:eastAsia="Times New Roman" w:hAnsi="Times New Roman" w:cs="Times New Roman"/>
          <w:sz w:val="24"/>
          <w:szCs w:val="24"/>
        </w:rPr>
        <w:t>artinya</w:t>
      </w:r>
      <w:proofErr w:type="spellEnd"/>
      <w:r w:rsidR="007D46B8" w:rsidRPr="00B14ED8">
        <w:rPr>
          <w:rFonts w:ascii="Times New Roman" w:eastAsia="Times New Roman" w:hAnsi="Times New Roman" w:cs="Times New Roman"/>
          <w:sz w:val="24"/>
          <w:szCs w:val="24"/>
        </w:rPr>
        <w:t xml:space="preserve"> </w:t>
      </w:r>
      <w:proofErr w:type="spellStart"/>
      <w:r w:rsidR="007D46B8" w:rsidRPr="00B14ED8">
        <w:rPr>
          <w:rFonts w:ascii="Times New Roman" w:eastAsia="Times New Roman" w:hAnsi="Times New Roman" w:cs="Times New Roman"/>
          <w:sz w:val="24"/>
          <w:szCs w:val="24"/>
        </w:rPr>
        <w:t>semakin</w:t>
      </w:r>
      <w:proofErr w:type="spellEnd"/>
      <w:r w:rsidR="007D46B8" w:rsidRPr="00B14ED8">
        <w:rPr>
          <w:rFonts w:ascii="Times New Roman" w:eastAsia="Times New Roman" w:hAnsi="Times New Roman" w:cs="Times New Roman"/>
          <w:sz w:val="24"/>
          <w:szCs w:val="24"/>
        </w:rPr>
        <w:t xml:space="preserve"> </w:t>
      </w:r>
      <w:proofErr w:type="spellStart"/>
      <w:r w:rsidR="007D46B8" w:rsidRPr="00B14ED8">
        <w:rPr>
          <w:rFonts w:ascii="Times New Roman" w:eastAsia="Times New Roman" w:hAnsi="Times New Roman" w:cs="Times New Roman"/>
          <w:sz w:val="24"/>
          <w:szCs w:val="24"/>
        </w:rPr>
        <w:t>tinggi</w:t>
      </w:r>
      <w:proofErr w:type="spellEnd"/>
      <w:r w:rsidR="007D46B8" w:rsidRPr="00B14ED8">
        <w:rPr>
          <w:rFonts w:ascii="Times New Roman" w:eastAsia="Times New Roman" w:hAnsi="Times New Roman" w:cs="Times New Roman"/>
          <w:sz w:val="24"/>
          <w:szCs w:val="24"/>
        </w:rPr>
        <w:t xml:space="preserve"> </w:t>
      </w:r>
      <w:proofErr w:type="spellStart"/>
      <w:r w:rsidR="007D46B8" w:rsidRPr="00B14ED8">
        <w:rPr>
          <w:rFonts w:ascii="Times New Roman" w:eastAsia="Times New Roman" w:hAnsi="Times New Roman" w:cs="Times New Roman"/>
          <w:sz w:val="24"/>
          <w:szCs w:val="24"/>
        </w:rPr>
        <w:t>jumlah</w:t>
      </w:r>
      <w:proofErr w:type="spellEnd"/>
      <w:r w:rsidR="007D46B8" w:rsidRPr="00B14ED8">
        <w:rPr>
          <w:rFonts w:ascii="Times New Roman" w:eastAsia="Times New Roman" w:hAnsi="Times New Roman" w:cs="Times New Roman"/>
          <w:sz w:val="24"/>
          <w:szCs w:val="24"/>
        </w:rPr>
        <w:t xml:space="preserve"> </w:t>
      </w:r>
      <w:proofErr w:type="spellStart"/>
      <w:r w:rsidR="007D46B8" w:rsidRPr="00B14ED8">
        <w:rPr>
          <w:rFonts w:ascii="Times New Roman" w:eastAsia="Times New Roman" w:hAnsi="Times New Roman" w:cs="Times New Roman"/>
          <w:sz w:val="24"/>
          <w:szCs w:val="24"/>
        </w:rPr>
        <w:t>pembiayaan</w:t>
      </w:r>
      <w:proofErr w:type="spellEnd"/>
      <w:r w:rsidR="007D46B8" w:rsidRPr="00B14ED8">
        <w:rPr>
          <w:rFonts w:ascii="Times New Roman" w:eastAsia="Times New Roman" w:hAnsi="Times New Roman" w:cs="Times New Roman"/>
          <w:sz w:val="24"/>
          <w:szCs w:val="24"/>
        </w:rPr>
        <w:t xml:space="preserve"> </w:t>
      </w:r>
      <w:proofErr w:type="spellStart"/>
      <w:r w:rsidR="007D46B8" w:rsidRPr="00B14ED8">
        <w:rPr>
          <w:rFonts w:ascii="Times New Roman" w:eastAsia="Times New Roman" w:hAnsi="Times New Roman" w:cs="Times New Roman"/>
          <w:i/>
          <w:iCs/>
          <w:sz w:val="24"/>
          <w:szCs w:val="24"/>
        </w:rPr>
        <w:t>mudharabah</w:t>
      </w:r>
      <w:proofErr w:type="spellEnd"/>
      <w:r w:rsidR="007D46B8" w:rsidRPr="00B14ED8">
        <w:rPr>
          <w:rFonts w:ascii="Times New Roman" w:eastAsia="Times New Roman" w:hAnsi="Times New Roman" w:cs="Times New Roman"/>
          <w:i/>
          <w:iCs/>
          <w:sz w:val="24"/>
          <w:szCs w:val="24"/>
        </w:rPr>
        <w:t xml:space="preserve"> </w:t>
      </w:r>
      <w:proofErr w:type="spellStart"/>
      <w:r w:rsidR="007D46B8" w:rsidRPr="00B14ED8">
        <w:rPr>
          <w:rFonts w:ascii="Times New Roman" w:eastAsia="Times New Roman" w:hAnsi="Times New Roman" w:cs="Times New Roman"/>
          <w:sz w:val="24"/>
          <w:szCs w:val="24"/>
        </w:rPr>
        <w:t>akan</w:t>
      </w:r>
      <w:proofErr w:type="spellEnd"/>
      <w:r w:rsidR="007D46B8" w:rsidRPr="00B14ED8">
        <w:rPr>
          <w:rFonts w:ascii="Times New Roman" w:eastAsia="Times New Roman" w:hAnsi="Times New Roman" w:cs="Times New Roman"/>
          <w:sz w:val="24"/>
          <w:szCs w:val="24"/>
        </w:rPr>
        <w:t xml:space="preserve"> </w:t>
      </w:r>
      <w:proofErr w:type="spellStart"/>
      <w:r w:rsidR="007D46B8" w:rsidRPr="00B14ED8">
        <w:rPr>
          <w:rFonts w:ascii="Times New Roman" w:eastAsia="Times New Roman" w:hAnsi="Times New Roman" w:cs="Times New Roman"/>
          <w:sz w:val="24"/>
          <w:szCs w:val="24"/>
        </w:rPr>
        <w:t>semakin</w:t>
      </w:r>
      <w:proofErr w:type="spellEnd"/>
      <w:r w:rsidR="007D46B8" w:rsidRPr="00B14ED8">
        <w:rPr>
          <w:rFonts w:ascii="Times New Roman" w:eastAsia="Times New Roman" w:hAnsi="Times New Roman" w:cs="Times New Roman"/>
          <w:sz w:val="24"/>
          <w:szCs w:val="24"/>
        </w:rPr>
        <w:t xml:space="preserve"> </w:t>
      </w:r>
      <w:proofErr w:type="spellStart"/>
      <w:r w:rsidR="007D46B8" w:rsidRPr="00B14ED8">
        <w:rPr>
          <w:rFonts w:ascii="Times New Roman" w:eastAsia="Times New Roman" w:hAnsi="Times New Roman" w:cs="Times New Roman"/>
          <w:sz w:val="24"/>
          <w:szCs w:val="24"/>
        </w:rPr>
        <w:t>meningkatkan</w:t>
      </w:r>
      <w:proofErr w:type="spellEnd"/>
      <w:r w:rsidR="007D46B8" w:rsidRPr="00B14ED8">
        <w:rPr>
          <w:rFonts w:ascii="Times New Roman" w:eastAsia="Times New Roman" w:hAnsi="Times New Roman" w:cs="Times New Roman"/>
          <w:sz w:val="24"/>
          <w:szCs w:val="24"/>
        </w:rPr>
        <w:t xml:space="preserve"> </w:t>
      </w:r>
      <w:proofErr w:type="spellStart"/>
      <w:r w:rsidR="007D46B8" w:rsidRPr="00B14ED8">
        <w:rPr>
          <w:rFonts w:ascii="Times New Roman" w:eastAsia="Times New Roman" w:hAnsi="Times New Roman" w:cs="Times New Roman"/>
          <w:sz w:val="24"/>
          <w:szCs w:val="24"/>
        </w:rPr>
        <w:t>nilai</w:t>
      </w:r>
      <w:proofErr w:type="spellEnd"/>
      <w:r w:rsidR="007D46B8" w:rsidRPr="00B14ED8">
        <w:rPr>
          <w:rFonts w:ascii="Times New Roman" w:eastAsia="Times New Roman" w:hAnsi="Times New Roman" w:cs="Times New Roman"/>
          <w:sz w:val="24"/>
          <w:szCs w:val="24"/>
        </w:rPr>
        <w:t xml:space="preserve"> </w:t>
      </w:r>
      <w:proofErr w:type="spellStart"/>
      <w:r w:rsidR="00D041E1" w:rsidRPr="00B14ED8">
        <w:rPr>
          <w:rFonts w:ascii="Times New Roman" w:eastAsia="Times New Roman" w:hAnsi="Times New Roman" w:cs="Times New Roman"/>
          <w:sz w:val="24"/>
          <w:szCs w:val="24"/>
        </w:rPr>
        <w:t>kinerja</w:t>
      </w:r>
      <w:proofErr w:type="spellEnd"/>
      <w:r w:rsidR="00D041E1" w:rsidRPr="00B14ED8">
        <w:rPr>
          <w:rFonts w:ascii="Times New Roman" w:eastAsia="Times New Roman" w:hAnsi="Times New Roman" w:cs="Times New Roman"/>
          <w:sz w:val="24"/>
          <w:szCs w:val="24"/>
        </w:rPr>
        <w:t xml:space="preserve"> </w:t>
      </w:r>
      <w:proofErr w:type="spellStart"/>
      <w:r w:rsidR="00D041E1" w:rsidRPr="00B14ED8">
        <w:rPr>
          <w:rFonts w:ascii="Times New Roman" w:eastAsia="Times New Roman" w:hAnsi="Times New Roman" w:cs="Times New Roman"/>
          <w:sz w:val="24"/>
          <w:szCs w:val="24"/>
        </w:rPr>
        <w:t>keuangan</w:t>
      </w:r>
      <w:proofErr w:type="spellEnd"/>
      <w:r w:rsidR="00D041E1" w:rsidRPr="00B14ED8">
        <w:rPr>
          <w:rFonts w:ascii="Times New Roman" w:eastAsia="Times New Roman" w:hAnsi="Times New Roman" w:cs="Times New Roman"/>
          <w:sz w:val="24"/>
          <w:szCs w:val="24"/>
        </w:rPr>
        <w:t xml:space="preserve"> yang </w:t>
      </w:r>
      <w:proofErr w:type="spellStart"/>
      <w:r w:rsidR="00D041E1" w:rsidRPr="00B14ED8">
        <w:rPr>
          <w:rFonts w:ascii="Times New Roman" w:eastAsia="Times New Roman" w:hAnsi="Times New Roman" w:cs="Times New Roman"/>
          <w:sz w:val="24"/>
          <w:szCs w:val="24"/>
        </w:rPr>
        <w:t>dihasilkan</w:t>
      </w:r>
      <w:proofErr w:type="spellEnd"/>
      <w:r w:rsidR="008E56CA" w:rsidRPr="00B14ED8">
        <w:rPr>
          <w:rFonts w:ascii="Times New Roman" w:eastAsia="Times New Roman" w:hAnsi="Times New Roman" w:cs="Times New Roman"/>
          <w:sz w:val="24"/>
          <w:szCs w:val="24"/>
        </w:rPr>
        <w:t>.</w:t>
      </w:r>
      <w:r w:rsidR="00434AFC" w:rsidRPr="00B14ED8">
        <w:rPr>
          <w:rFonts w:ascii="Times New Roman" w:eastAsia="Times New Roman" w:hAnsi="Times New Roman" w:cs="Times New Roman"/>
          <w:sz w:val="24"/>
          <w:szCs w:val="24"/>
        </w:rPr>
        <w:t xml:space="preserve"> </w:t>
      </w:r>
      <w:r w:rsidR="008E56CA" w:rsidRPr="00B14ED8">
        <w:rPr>
          <w:rFonts w:ascii="Times New Roman" w:eastAsia="Times New Roman" w:hAnsi="Times New Roman" w:cs="Times New Roman"/>
          <w:sz w:val="24"/>
          <w:szCs w:val="24"/>
        </w:rPr>
        <w:t xml:space="preserve">Nilai </w:t>
      </w:r>
      <w:proofErr w:type="spellStart"/>
      <w:r w:rsidR="008E56CA" w:rsidRPr="00B14ED8">
        <w:rPr>
          <w:rFonts w:ascii="Times New Roman" w:eastAsia="Times New Roman" w:hAnsi="Times New Roman" w:cs="Times New Roman"/>
          <w:sz w:val="24"/>
          <w:szCs w:val="24"/>
        </w:rPr>
        <w:t>investasi</w:t>
      </w:r>
      <w:proofErr w:type="spellEnd"/>
      <w:r w:rsidR="008E56CA" w:rsidRPr="00B14ED8">
        <w:rPr>
          <w:rFonts w:ascii="Times New Roman" w:eastAsia="Times New Roman" w:hAnsi="Times New Roman" w:cs="Times New Roman"/>
          <w:sz w:val="24"/>
          <w:szCs w:val="24"/>
        </w:rPr>
        <w:t xml:space="preserve"> </w:t>
      </w:r>
      <w:proofErr w:type="spellStart"/>
      <w:r w:rsidR="008E56CA" w:rsidRPr="00B14ED8">
        <w:rPr>
          <w:rFonts w:ascii="Times New Roman" w:eastAsia="Times New Roman" w:hAnsi="Times New Roman" w:cs="Times New Roman"/>
          <w:sz w:val="24"/>
          <w:szCs w:val="24"/>
        </w:rPr>
        <w:t>pembiayaan</w:t>
      </w:r>
      <w:proofErr w:type="spellEnd"/>
      <w:r w:rsidR="008E56CA" w:rsidRPr="00B14ED8">
        <w:rPr>
          <w:rFonts w:ascii="Times New Roman" w:eastAsia="Times New Roman" w:hAnsi="Times New Roman" w:cs="Times New Roman"/>
          <w:sz w:val="24"/>
          <w:szCs w:val="24"/>
        </w:rPr>
        <w:t xml:space="preserve"> </w:t>
      </w:r>
      <w:proofErr w:type="spellStart"/>
      <w:r w:rsidR="008E56CA" w:rsidRPr="00B14ED8">
        <w:rPr>
          <w:rFonts w:ascii="Times New Roman" w:eastAsia="Times New Roman" w:hAnsi="Times New Roman" w:cs="Times New Roman"/>
          <w:i/>
          <w:iCs/>
          <w:sz w:val="24"/>
          <w:szCs w:val="24"/>
        </w:rPr>
        <w:t>mudharabah</w:t>
      </w:r>
      <w:proofErr w:type="spellEnd"/>
      <w:r w:rsidR="008E56CA" w:rsidRPr="00B14ED8">
        <w:rPr>
          <w:rFonts w:ascii="Times New Roman" w:eastAsia="Times New Roman" w:hAnsi="Times New Roman" w:cs="Times New Roman"/>
          <w:i/>
          <w:iCs/>
          <w:sz w:val="24"/>
          <w:szCs w:val="24"/>
        </w:rPr>
        <w:t xml:space="preserve"> </w:t>
      </w:r>
      <w:r w:rsidR="008E56CA" w:rsidRPr="00B14ED8">
        <w:rPr>
          <w:rFonts w:ascii="Times New Roman" w:eastAsia="Times New Roman" w:hAnsi="Times New Roman" w:cs="Times New Roman"/>
          <w:sz w:val="24"/>
          <w:szCs w:val="24"/>
        </w:rPr>
        <w:t xml:space="preserve">yang </w:t>
      </w:r>
      <w:proofErr w:type="spellStart"/>
      <w:r w:rsidR="008E56CA" w:rsidRPr="00B14ED8">
        <w:rPr>
          <w:rFonts w:ascii="Times New Roman" w:eastAsia="Times New Roman" w:hAnsi="Times New Roman" w:cs="Times New Roman"/>
          <w:sz w:val="24"/>
          <w:szCs w:val="24"/>
        </w:rPr>
        <w:t>produktif</w:t>
      </w:r>
      <w:proofErr w:type="spellEnd"/>
      <w:r w:rsidR="008E56CA" w:rsidRPr="00B14ED8">
        <w:rPr>
          <w:rFonts w:ascii="Times New Roman" w:eastAsia="Times New Roman" w:hAnsi="Times New Roman" w:cs="Times New Roman"/>
          <w:sz w:val="24"/>
          <w:szCs w:val="24"/>
        </w:rPr>
        <w:t xml:space="preserve"> </w:t>
      </w:r>
      <w:proofErr w:type="spellStart"/>
      <w:r w:rsidR="008E56CA" w:rsidRPr="00B14ED8">
        <w:rPr>
          <w:rFonts w:ascii="Times New Roman" w:eastAsia="Times New Roman" w:hAnsi="Times New Roman" w:cs="Times New Roman"/>
          <w:sz w:val="24"/>
          <w:szCs w:val="24"/>
        </w:rPr>
        <w:t>serta</w:t>
      </w:r>
      <w:proofErr w:type="spellEnd"/>
      <w:r w:rsidR="008E56CA" w:rsidRPr="00B14ED8">
        <w:rPr>
          <w:rFonts w:ascii="Times New Roman" w:eastAsia="Times New Roman" w:hAnsi="Times New Roman" w:cs="Times New Roman"/>
          <w:sz w:val="24"/>
          <w:szCs w:val="24"/>
        </w:rPr>
        <w:t xml:space="preserve"> </w:t>
      </w:r>
      <w:proofErr w:type="spellStart"/>
      <w:r w:rsidR="008E56CA" w:rsidRPr="00B14ED8">
        <w:rPr>
          <w:rFonts w:ascii="Times New Roman" w:eastAsia="Times New Roman" w:hAnsi="Times New Roman" w:cs="Times New Roman"/>
          <w:sz w:val="24"/>
          <w:szCs w:val="24"/>
        </w:rPr>
        <w:t>direalisasikan</w:t>
      </w:r>
      <w:proofErr w:type="spellEnd"/>
      <w:r w:rsidR="008E56CA" w:rsidRPr="00B14ED8">
        <w:rPr>
          <w:rFonts w:ascii="Times New Roman" w:eastAsia="Times New Roman" w:hAnsi="Times New Roman" w:cs="Times New Roman"/>
          <w:sz w:val="24"/>
          <w:szCs w:val="24"/>
        </w:rPr>
        <w:t xml:space="preserve"> </w:t>
      </w:r>
      <w:proofErr w:type="spellStart"/>
      <w:r w:rsidR="008E56CA" w:rsidRPr="00B14ED8">
        <w:rPr>
          <w:rFonts w:ascii="Times New Roman" w:eastAsia="Times New Roman" w:hAnsi="Times New Roman" w:cs="Times New Roman"/>
          <w:sz w:val="24"/>
          <w:szCs w:val="24"/>
        </w:rPr>
        <w:t>melalui</w:t>
      </w:r>
      <w:proofErr w:type="spellEnd"/>
      <w:r w:rsidR="008E56CA" w:rsidRPr="00B14ED8">
        <w:rPr>
          <w:rFonts w:ascii="Times New Roman" w:eastAsia="Times New Roman" w:hAnsi="Times New Roman" w:cs="Times New Roman"/>
          <w:sz w:val="24"/>
          <w:szCs w:val="24"/>
        </w:rPr>
        <w:t xml:space="preserve"> </w:t>
      </w:r>
      <w:proofErr w:type="spellStart"/>
      <w:r w:rsidR="008E56CA" w:rsidRPr="00B14ED8">
        <w:rPr>
          <w:rFonts w:ascii="Times New Roman" w:eastAsia="Times New Roman" w:hAnsi="Times New Roman" w:cs="Times New Roman"/>
          <w:sz w:val="24"/>
          <w:szCs w:val="24"/>
        </w:rPr>
        <w:t>kerja</w:t>
      </w:r>
      <w:proofErr w:type="spellEnd"/>
      <w:r w:rsidR="008E56CA" w:rsidRPr="00B14ED8">
        <w:rPr>
          <w:rFonts w:ascii="Times New Roman" w:eastAsia="Times New Roman" w:hAnsi="Times New Roman" w:cs="Times New Roman"/>
          <w:sz w:val="24"/>
          <w:szCs w:val="24"/>
        </w:rPr>
        <w:t xml:space="preserve"> </w:t>
      </w:r>
      <w:proofErr w:type="spellStart"/>
      <w:r w:rsidR="008E56CA" w:rsidRPr="00B14ED8">
        <w:rPr>
          <w:rFonts w:ascii="Times New Roman" w:eastAsia="Times New Roman" w:hAnsi="Times New Roman" w:cs="Times New Roman"/>
          <w:sz w:val="24"/>
          <w:szCs w:val="24"/>
        </w:rPr>
        <w:t>sama</w:t>
      </w:r>
      <w:proofErr w:type="spellEnd"/>
      <w:r w:rsidR="008E56CA" w:rsidRPr="00B14ED8">
        <w:rPr>
          <w:rFonts w:ascii="Times New Roman" w:eastAsia="Times New Roman" w:hAnsi="Times New Roman" w:cs="Times New Roman"/>
          <w:sz w:val="24"/>
          <w:szCs w:val="24"/>
        </w:rPr>
        <w:t xml:space="preserve"> yang </w:t>
      </w:r>
      <w:proofErr w:type="spellStart"/>
      <w:r w:rsidR="008E56CA" w:rsidRPr="00B14ED8">
        <w:rPr>
          <w:rFonts w:ascii="Times New Roman" w:eastAsia="Times New Roman" w:hAnsi="Times New Roman" w:cs="Times New Roman"/>
          <w:sz w:val="24"/>
          <w:szCs w:val="24"/>
        </w:rPr>
        <w:t>baik</w:t>
      </w:r>
      <w:proofErr w:type="spellEnd"/>
      <w:r w:rsidR="008E56CA" w:rsidRPr="00B14ED8">
        <w:rPr>
          <w:rFonts w:ascii="Times New Roman" w:eastAsia="Times New Roman" w:hAnsi="Times New Roman" w:cs="Times New Roman"/>
          <w:sz w:val="24"/>
          <w:szCs w:val="24"/>
        </w:rPr>
        <w:t xml:space="preserve"> </w:t>
      </w:r>
      <w:proofErr w:type="spellStart"/>
      <w:r w:rsidR="008E56CA" w:rsidRPr="00B14ED8">
        <w:rPr>
          <w:rFonts w:ascii="Times New Roman" w:eastAsia="Times New Roman" w:hAnsi="Times New Roman" w:cs="Times New Roman"/>
          <w:sz w:val="24"/>
          <w:szCs w:val="24"/>
        </w:rPr>
        <w:t>antara</w:t>
      </w:r>
      <w:proofErr w:type="spellEnd"/>
      <w:r w:rsidR="008E56CA" w:rsidRPr="00B14ED8">
        <w:rPr>
          <w:rFonts w:ascii="Times New Roman" w:eastAsia="Times New Roman" w:hAnsi="Times New Roman" w:cs="Times New Roman"/>
          <w:sz w:val="24"/>
          <w:szCs w:val="24"/>
        </w:rPr>
        <w:t xml:space="preserve"> </w:t>
      </w:r>
      <w:proofErr w:type="spellStart"/>
      <w:r w:rsidR="008E56CA" w:rsidRPr="00B14ED8">
        <w:rPr>
          <w:rFonts w:ascii="Times New Roman" w:eastAsia="Times New Roman" w:hAnsi="Times New Roman" w:cs="Times New Roman"/>
          <w:sz w:val="24"/>
          <w:szCs w:val="24"/>
        </w:rPr>
        <w:t>pelaku</w:t>
      </w:r>
      <w:proofErr w:type="spellEnd"/>
      <w:r w:rsidR="008E56CA" w:rsidRPr="00B14ED8">
        <w:rPr>
          <w:rFonts w:ascii="Times New Roman" w:eastAsia="Times New Roman" w:hAnsi="Times New Roman" w:cs="Times New Roman"/>
          <w:sz w:val="24"/>
          <w:szCs w:val="24"/>
        </w:rPr>
        <w:t xml:space="preserve"> </w:t>
      </w:r>
      <w:proofErr w:type="spellStart"/>
      <w:r w:rsidR="008E56CA" w:rsidRPr="00B14ED8">
        <w:rPr>
          <w:rFonts w:ascii="Times New Roman" w:eastAsia="Times New Roman" w:hAnsi="Times New Roman" w:cs="Times New Roman"/>
          <w:sz w:val="24"/>
          <w:szCs w:val="24"/>
        </w:rPr>
        <w:t>bisnis</w:t>
      </w:r>
      <w:proofErr w:type="spellEnd"/>
      <w:r w:rsidR="008E56CA" w:rsidRPr="00B14ED8">
        <w:rPr>
          <w:rFonts w:ascii="Times New Roman" w:eastAsia="Times New Roman" w:hAnsi="Times New Roman" w:cs="Times New Roman"/>
          <w:sz w:val="24"/>
          <w:szCs w:val="24"/>
        </w:rPr>
        <w:t xml:space="preserve"> dan </w:t>
      </w:r>
      <w:proofErr w:type="spellStart"/>
      <w:r w:rsidR="008E56CA" w:rsidRPr="00B14ED8">
        <w:rPr>
          <w:rFonts w:ascii="Times New Roman" w:eastAsia="Times New Roman" w:hAnsi="Times New Roman" w:cs="Times New Roman"/>
          <w:sz w:val="24"/>
          <w:szCs w:val="24"/>
        </w:rPr>
        <w:t>perbankan</w:t>
      </w:r>
      <w:proofErr w:type="spellEnd"/>
      <w:r w:rsidR="008E56CA" w:rsidRPr="00B14ED8">
        <w:rPr>
          <w:rFonts w:ascii="Times New Roman" w:eastAsia="Times New Roman" w:hAnsi="Times New Roman" w:cs="Times New Roman"/>
          <w:sz w:val="24"/>
          <w:szCs w:val="24"/>
        </w:rPr>
        <w:t xml:space="preserve"> </w:t>
      </w:r>
      <w:proofErr w:type="spellStart"/>
      <w:r w:rsidR="008E56CA" w:rsidRPr="00B14ED8">
        <w:rPr>
          <w:rFonts w:ascii="Times New Roman" w:eastAsia="Times New Roman" w:hAnsi="Times New Roman" w:cs="Times New Roman"/>
          <w:sz w:val="24"/>
          <w:szCs w:val="24"/>
        </w:rPr>
        <w:t>akan</w:t>
      </w:r>
      <w:proofErr w:type="spellEnd"/>
      <w:r w:rsidR="008E56CA" w:rsidRPr="00B14ED8">
        <w:rPr>
          <w:rFonts w:ascii="Times New Roman" w:eastAsia="Times New Roman" w:hAnsi="Times New Roman" w:cs="Times New Roman"/>
          <w:sz w:val="24"/>
          <w:szCs w:val="24"/>
        </w:rPr>
        <w:t xml:space="preserve"> </w:t>
      </w:r>
      <w:proofErr w:type="spellStart"/>
      <w:r w:rsidR="008E56CA" w:rsidRPr="00B14ED8">
        <w:rPr>
          <w:rFonts w:ascii="Times New Roman" w:eastAsia="Times New Roman" w:hAnsi="Times New Roman" w:cs="Times New Roman"/>
          <w:sz w:val="24"/>
          <w:szCs w:val="24"/>
        </w:rPr>
        <w:t>mendorong</w:t>
      </w:r>
      <w:proofErr w:type="spellEnd"/>
      <w:r w:rsidR="008E56CA" w:rsidRPr="00B14ED8">
        <w:rPr>
          <w:rFonts w:ascii="Times New Roman" w:eastAsia="Times New Roman" w:hAnsi="Times New Roman" w:cs="Times New Roman"/>
          <w:sz w:val="24"/>
          <w:szCs w:val="24"/>
        </w:rPr>
        <w:t xml:space="preserve"> </w:t>
      </w:r>
      <w:proofErr w:type="spellStart"/>
      <w:r w:rsidR="008E56CA" w:rsidRPr="00B14ED8">
        <w:rPr>
          <w:rFonts w:ascii="Times New Roman" w:eastAsia="Times New Roman" w:hAnsi="Times New Roman" w:cs="Times New Roman"/>
          <w:sz w:val="24"/>
          <w:szCs w:val="24"/>
        </w:rPr>
        <w:t>kenaikan</w:t>
      </w:r>
      <w:proofErr w:type="spellEnd"/>
      <w:r w:rsidR="008E56CA" w:rsidRPr="00B14ED8">
        <w:rPr>
          <w:rFonts w:ascii="Times New Roman" w:eastAsia="Times New Roman" w:hAnsi="Times New Roman" w:cs="Times New Roman"/>
          <w:sz w:val="24"/>
          <w:szCs w:val="24"/>
        </w:rPr>
        <w:t xml:space="preserve"> profit </w:t>
      </w:r>
      <w:proofErr w:type="spellStart"/>
      <w:r w:rsidR="008E56CA" w:rsidRPr="00B14ED8">
        <w:rPr>
          <w:rFonts w:ascii="Times New Roman" w:eastAsia="Times New Roman" w:hAnsi="Times New Roman" w:cs="Times New Roman"/>
          <w:sz w:val="24"/>
          <w:szCs w:val="24"/>
        </w:rPr>
        <w:t>usaha</w:t>
      </w:r>
      <w:proofErr w:type="spellEnd"/>
      <w:r w:rsidR="008E56CA" w:rsidRPr="00B14ED8">
        <w:rPr>
          <w:rFonts w:ascii="Times New Roman" w:eastAsia="Times New Roman" w:hAnsi="Times New Roman" w:cs="Times New Roman"/>
          <w:sz w:val="24"/>
          <w:szCs w:val="24"/>
        </w:rPr>
        <w:t xml:space="preserve"> </w:t>
      </w:r>
      <w:proofErr w:type="spellStart"/>
      <w:r w:rsidR="008E56CA" w:rsidRPr="00B14ED8">
        <w:rPr>
          <w:rFonts w:ascii="Times New Roman" w:eastAsia="Times New Roman" w:hAnsi="Times New Roman" w:cs="Times New Roman"/>
          <w:sz w:val="24"/>
          <w:szCs w:val="24"/>
        </w:rPr>
        <w:t>sehingga</w:t>
      </w:r>
      <w:proofErr w:type="spellEnd"/>
      <w:r w:rsidR="008E56CA" w:rsidRPr="00B14ED8">
        <w:rPr>
          <w:rFonts w:ascii="Times New Roman" w:eastAsia="Times New Roman" w:hAnsi="Times New Roman" w:cs="Times New Roman"/>
          <w:sz w:val="24"/>
          <w:szCs w:val="24"/>
        </w:rPr>
        <w:t xml:space="preserve"> </w:t>
      </w:r>
      <w:proofErr w:type="spellStart"/>
      <w:r w:rsidR="008E56CA" w:rsidRPr="00B14ED8">
        <w:rPr>
          <w:rFonts w:ascii="Times New Roman" w:eastAsia="Times New Roman" w:hAnsi="Times New Roman" w:cs="Times New Roman"/>
          <w:sz w:val="24"/>
          <w:szCs w:val="24"/>
        </w:rPr>
        <w:t>nilai</w:t>
      </w:r>
      <w:proofErr w:type="spellEnd"/>
      <w:r w:rsidR="008E56CA" w:rsidRPr="00B14ED8">
        <w:rPr>
          <w:rFonts w:ascii="Times New Roman" w:eastAsia="Times New Roman" w:hAnsi="Times New Roman" w:cs="Times New Roman"/>
          <w:sz w:val="24"/>
          <w:szCs w:val="24"/>
        </w:rPr>
        <w:t xml:space="preserve"> </w:t>
      </w:r>
      <w:proofErr w:type="spellStart"/>
      <w:r w:rsidR="008E56CA" w:rsidRPr="00B14ED8">
        <w:rPr>
          <w:rFonts w:ascii="Times New Roman" w:eastAsia="Times New Roman" w:hAnsi="Times New Roman" w:cs="Times New Roman"/>
          <w:sz w:val="24"/>
          <w:szCs w:val="24"/>
        </w:rPr>
        <w:t>kinerja</w:t>
      </w:r>
      <w:proofErr w:type="spellEnd"/>
      <w:r w:rsidR="008E56CA" w:rsidRPr="00B14ED8">
        <w:rPr>
          <w:rFonts w:ascii="Times New Roman" w:eastAsia="Times New Roman" w:hAnsi="Times New Roman" w:cs="Times New Roman"/>
          <w:sz w:val="24"/>
          <w:szCs w:val="24"/>
        </w:rPr>
        <w:t xml:space="preserve"> </w:t>
      </w:r>
      <w:proofErr w:type="spellStart"/>
      <w:r w:rsidR="008E56CA" w:rsidRPr="00B14ED8">
        <w:rPr>
          <w:rFonts w:ascii="Times New Roman" w:eastAsia="Times New Roman" w:hAnsi="Times New Roman" w:cs="Times New Roman"/>
          <w:sz w:val="24"/>
          <w:szCs w:val="24"/>
        </w:rPr>
        <w:t>keuangan</w:t>
      </w:r>
      <w:proofErr w:type="spellEnd"/>
      <w:r w:rsidR="008E56CA" w:rsidRPr="00B14ED8">
        <w:rPr>
          <w:rFonts w:ascii="Times New Roman" w:eastAsia="Times New Roman" w:hAnsi="Times New Roman" w:cs="Times New Roman"/>
          <w:sz w:val="24"/>
          <w:szCs w:val="24"/>
        </w:rPr>
        <w:t xml:space="preserve"> yang </w:t>
      </w:r>
      <w:proofErr w:type="spellStart"/>
      <w:r w:rsidR="008E56CA" w:rsidRPr="00B14ED8">
        <w:rPr>
          <w:rFonts w:ascii="Times New Roman" w:eastAsia="Times New Roman" w:hAnsi="Times New Roman" w:cs="Times New Roman"/>
          <w:sz w:val="24"/>
          <w:szCs w:val="24"/>
        </w:rPr>
        <w:t>dihasilkan</w:t>
      </w:r>
      <w:proofErr w:type="spellEnd"/>
      <w:r w:rsidR="008E56CA" w:rsidRPr="00B14ED8">
        <w:rPr>
          <w:rFonts w:ascii="Times New Roman" w:eastAsia="Times New Roman" w:hAnsi="Times New Roman" w:cs="Times New Roman"/>
          <w:sz w:val="24"/>
          <w:szCs w:val="24"/>
        </w:rPr>
        <w:t xml:space="preserve"> </w:t>
      </w:r>
      <w:proofErr w:type="spellStart"/>
      <w:r w:rsidR="008E56CA" w:rsidRPr="00B14ED8">
        <w:rPr>
          <w:rFonts w:ascii="Times New Roman" w:eastAsia="Times New Roman" w:hAnsi="Times New Roman" w:cs="Times New Roman"/>
          <w:sz w:val="24"/>
          <w:szCs w:val="24"/>
        </w:rPr>
        <w:t>semakin</w:t>
      </w:r>
      <w:proofErr w:type="spellEnd"/>
      <w:r w:rsidR="008E56CA" w:rsidRPr="00B14ED8">
        <w:rPr>
          <w:rFonts w:ascii="Times New Roman" w:eastAsia="Times New Roman" w:hAnsi="Times New Roman" w:cs="Times New Roman"/>
          <w:sz w:val="24"/>
          <w:szCs w:val="24"/>
        </w:rPr>
        <w:t xml:space="preserve"> </w:t>
      </w:r>
      <w:proofErr w:type="spellStart"/>
      <w:r w:rsidR="008E56CA" w:rsidRPr="00B14ED8">
        <w:rPr>
          <w:rFonts w:ascii="Times New Roman" w:eastAsia="Times New Roman" w:hAnsi="Times New Roman" w:cs="Times New Roman"/>
          <w:sz w:val="24"/>
          <w:szCs w:val="24"/>
        </w:rPr>
        <w:t>tinggi</w:t>
      </w:r>
      <w:proofErr w:type="spellEnd"/>
      <w:r w:rsidR="008E56CA" w:rsidRPr="00B14ED8">
        <w:rPr>
          <w:rFonts w:ascii="Times New Roman" w:eastAsia="Times New Roman" w:hAnsi="Times New Roman" w:cs="Times New Roman"/>
          <w:sz w:val="24"/>
          <w:szCs w:val="24"/>
        </w:rPr>
        <w:t>.</w:t>
      </w:r>
      <w:r w:rsidR="00434AFC" w:rsidRPr="00B14ED8">
        <w:rPr>
          <w:rFonts w:ascii="Times New Roman" w:eastAsia="Times New Roman" w:hAnsi="Times New Roman" w:cs="Times New Roman"/>
          <w:sz w:val="24"/>
          <w:szCs w:val="24"/>
        </w:rPr>
        <w:t xml:space="preserve"> </w:t>
      </w:r>
      <w:proofErr w:type="spellStart"/>
      <w:r w:rsidR="00434AFC" w:rsidRPr="00B14ED8">
        <w:rPr>
          <w:rFonts w:ascii="Times New Roman" w:eastAsia="Times New Roman" w:hAnsi="Times New Roman" w:cs="Times New Roman"/>
          <w:sz w:val="24"/>
          <w:szCs w:val="24"/>
        </w:rPr>
        <w:t>Berdasarkan</w:t>
      </w:r>
      <w:proofErr w:type="spellEnd"/>
      <w:r w:rsidR="00434AFC" w:rsidRPr="00B14ED8">
        <w:rPr>
          <w:rFonts w:ascii="Times New Roman" w:eastAsia="Times New Roman" w:hAnsi="Times New Roman" w:cs="Times New Roman"/>
          <w:sz w:val="24"/>
          <w:szCs w:val="24"/>
        </w:rPr>
        <w:t xml:space="preserve"> pada </w:t>
      </w:r>
      <w:proofErr w:type="spellStart"/>
      <w:r w:rsidR="00434AFC" w:rsidRPr="00B14ED8">
        <w:rPr>
          <w:rFonts w:ascii="Times New Roman" w:eastAsia="Times New Roman" w:hAnsi="Times New Roman" w:cs="Times New Roman"/>
          <w:sz w:val="24"/>
          <w:szCs w:val="24"/>
        </w:rPr>
        <w:t>keterangan</w:t>
      </w:r>
      <w:proofErr w:type="spellEnd"/>
      <w:r w:rsidR="00434AFC" w:rsidRPr="00B14ED8">
        <w:rPr>
          <w:rFonts w:ascii="Times New Roman" w:eastAsia="Times New Roman" w:hAnsi="Times New Roman" w:cs="Times New Roman"/>
          <w:sz w:val="24"/>
          <w:szCs w:val="24"/>
        </w:rPr>
        <w:t xml:space="preserve"> </w:t>
      </w:r>
      <w:proofErr w:type="spellStart"/>
      <w:r w:rsidR="00434AFC" w:rsidRPr="00B14ED8">
        <w:rPr>
          <w:rFonts w:ascii="Times New Roman" w:eastAsia="Times New Roman" w:hAnsi="Times New Roman" w:cs="Times New Roman"/>
          <w:sz w:val="24"/>
          <w:szCs w:val="24"/>
        </w:rPr>
        <w:t>ini</w:t>
      </w:r>
      <w:proofErr w:type="spellEnd"/>
      <w:r w:rsidR="00434AFC" w:rsidRPr="00B14ED8">
        <w:rPr>
          <w:rFonts w:ascii="Times New Roman" w:eastAsia="Times New Roman" w:hAnsi="Times New Roman" w:cs="Times New Roman"/>
          <w:sz w:val="24"/>
          <w:szCs w:val="24"/>
        </w:rPr>
        <w:t xml:space="preserve"> </w:t>
      </w:r>
      <w:proofErr w:type="spellStart"/>
      <w:r w:rsidR="00434AFC" w:rsidRPr="00B14ED8">
        <w:rPr>
          <w:rFonts w:ascii="Times New Roman" w:eastAsia="Times New Roman" w:hAnsi="Times New Roman" w:cs="Times New Roman"/>
          <w:sz w:val="24"/>
          <w:szCs w:val="24"/>
        </w:rPr>
        <w:t>maka</w:t>
      </w:r>
      <w:proofErr w:type="spellEnd"/>
      <w:r w:rsidR="00434AFC" w:rsidRPr="00B14ED8">
        <w:rPr>
          <w:rFonts w:ascii="Times New Roman" w:eastAsia="Times New Roman" w:hAnsi="Times New Roman" w:cs="Times New Roman"/>
          <w:sz w:val="24"/>
          <w:szCs w:val="24"/>
        </w:rPr>
        <w:t xml:space="preserve"> </w:t>
      </w:r>
      <w:proofErr w:type="spellStart"/>
      <w:r w:rsidR="00434AFC" w:rsidRPr="00B14ED8">
        <w:rPr>
          <w:rFonts w:ascii="Times New Roman" w:eastAsia="Times New Roman" w:hAnsi="Times New Roman" w:cs="Times New Roman"/>
          <w:sz w:val="24"/>
          <w:szCs w:val="24"/>
        </w:rPr>
        <w:t>hipotesis</w:t>
      </w:r>
      <w:proofErr w:type="spellEnd"/>
      <w:r w:rsidR="00434AFC" w:rsidRPr="00B14ED8">
        <w:rPr>
          <w:rFonts w:ascii="Times New Roman" w:eastAsia="Times New Roman" w:hAnsi="Times New Roman" w:cs="Times New Roman"/>
          <w:sz w:val="24"/>
          <w:szCs w:val="24"/>
        </w:rPr>
        <w:t xml:space="preserve"> 1 </w:t>
      </w:r>
      <w:proofErr w:type="spellStart"/>
      <w:r w:rsidR="00434AFC" w:rsidRPr="00B14ED8">
        <w:rPr>
          <w:rFonts w:ascii="Times New Roman" w:eastAsia="Times New Roman" w:hAnsi="Times New Roman" w:cs="Times New Roman"/>
          <w:sz w:val="24"/>
          <w:szCs w:val="24"/>
        </w:rPr>
        <w:t>penelitian</w:t>
      </w:r>
      <w:proofErr w:type="spellEnd"/>
      <w:r w:rsidR="00434AFC" w:rsidRPr="00B14ED8">
        <w:rPr>
          <w:rFonts w:ascii="Times New Roman" w:eastAsia="Times New Roman" w:hAnsi="Times New Roman" w:cs="Times New Roman"/>
          <w:sz w:val="24"/>
          <w:szCs w:val="24"/>
        </w:rPr>
        <w:t xml:space="preserve"> yang </w:t>
      </w:r>
      <w:proofErr w:type="spellStart"/>
      <w:r w:rsidR="00434AFC" w:rsidRPr="00B14ED8">
        <w:rPr>
          <w:rFonts w:ascii="Times New Roman" w:eastAsia="Times New Roman" w:hAnsi="Times New Roman" w:cs="Times New Roman"/>
          <w:sz w:val="24"/>
          <w:szCs w:val="24"/>
        </w:rPr>
        <w:t>diajukan</w:t>
      </w:r>
      <w:proofErr w:type="spellEnd"/>
      <w:r w:rsidR="00434AFC" w:rsidRPr="00B14ED8">
        <w:rPr>
          <w:rFonts w:ascii="Times New Roman" w:eastAsia="Times New Roman" w:hAnsi="Times New Roman" w:cs="Times New Roman"/>
          <w:sz w:val="24"/>
          <w:szCs w:val="24"/>
        </w:rPr>
        <w:t xml:space="preserve"> </w:t>
      </w:r>
      <w:proofErr w:type="spellStart"/>
      <w:r w:rsidR="00434AFC" w:rsidRPr="00B14ED8">
        <w:rPr>
          <w:rFonts w:ascii="Times New Roman" w:eastAsia="Times New Roman" w:hAnsi="Times New Roman" w:cs="Times New Roman"/>
          <w:sz w:val="24"/>
          <w:szCs w:val="24"/>
        </w:rPr>
        <w:t>adalah</w:t>
      </w:r>
      <w:proofErr w:type="spellEnd"/>
      <w:r w:rsidR="00434AFC" w:rsidRPr="00B14ED8">
        <w:rPr>
          <w:rFonts w:ascii="Times New Roman" w:eastAsia="Times New Roman" w:hAnsi="Times New Roman" w:cs="Times New Roman"/>
          <w:sz w:val="24"/>
          <w:szCs w:val="24"/>
        </w:rPr>
        <w:t xml:space="preserve"> </w:t>
      </w:r>
      <w:proofErr w:type="spellStart"/>
      <w:r w:rsidR="00434AFC" w:rsidRPr="00B14ED8">
        <w:rPr>
          <w:rFonts w:ascii="Times New Roman" w:eastAsia="Times New Roman" w:hAnsi="Times New Roman" w:cs="Times New Roman"/>
          <w:sz w:val="24"/>
          <w:szCs w:val="24"/>
        </w:rPr>
        <w:t>sebagai</w:t>
      </w:r>
      <w:proofErr w:type="spellEnd"/>
      <w:r w:rsidR="00434AFC" w:rsidRPr="00B14ED8">
        <w:rPr>
          <w:rFonts w:ascii="Times New Roman" w:eastAsia="Times New Roman" w:hAnsi="Times New Roman" w:cs="Times New Roman"/>
          <w:sz w:val="24"/>
          <w:szCs w:val="24"/>
        </w:rPr>
        <w:t xml:space="preserve"> </w:t>
      </w:r>
      <w:proofErr w:type="spellStart"/>
      <w:r w:rsidR="00434AFC" w:rsidRPr="00B14ED8">
        <w:rPr>
          <w:rFonts w:ascii="Times New Roman" w:eastAsia="Times New Roman" w:hAnsi="Times New Roman" w:cs="Times New Roman"/>
          <w:sz w:val="24"/>
          <w:szCs w:val="24"/>
        </w:rPr>
        <w:t>berikut</w:t>
      </w:r>
      <w:proofErr w:type="spellEnd"/>
      <w:r w:rsidR="00434AFC" w:rsidRPr="00B14ED8">
        <w:rPr>
          <w:rFonts w:ascii="Times New Roman" w:eastAsia="Times New Roman" w:hAnsi="Times New Roman" w:cs="Times New Roman"/>
          <w:sz w:val="24"/>
          <w:szCs w:val="24"/>
        </w:rPr>
        <w:t>:</w:t>
      </w:r>
    </w:p>
    <w:p w14:paraId="13AF3244" w14:textId="39D9D44A" w:rsidR="00434AFC" w:rsidRPr="00B14ED8" w:rsidRDefault="00A03377" w:rsidP="00B14ED8">
      <w:pPr>
        <w:tabs>
          <w:tab w:val="left" w:pos="567"/>
        </w:tabs>
        <w:spacing w:after="0" w:line="360" w:lineRule="auto"/>
        <w:jc w:val="both"/>
        <w:rPr>
          <w:rFonts w:ascii="Times New Roman" w:eastAsia="Times New Roman" w:hAnsi="Times New Roman" w:cs="Times New Roman"/>
          <w:sz w:val="24"/>
          <w:szCs w:val="24"/>
        </w:rPr>
      </w:pPr>
      <w:r w:rsidRPr="00B14ED8">
        <w:rPr>
          <w:rFonts w:ascii="Times New Roman" w:eastAsia="Times New Roman" w:hAnsi="Times New Roman" w:cs="Times New Roman"/>
          <w:sz w:val="24"/>
          <w:szCs w:val="24"/>
        </w:rPr>
        <w:t xml:space="preserve">H1: </w:t>
      </w:r>
      <w:proofErr w:type="spellStart"/>
      <w:r w:rsidR="00B11D7D" w:rsidRPr="00B14ED8">
        <w:rPr>
          <w:rFonts w:ascii="Times New Roman" w:eastAsia="Times New Roman" w:hAnsi="Times New Roman" w:cs="Times New Roman"/>
          <w:sz w:val="24"/>
          <w:szCs w:val="24"/>
        </w:rPr>
        <w:t>P</w:t>
      </w:r>
      <w:r w:rsidRPr="00B14ED8">
        <w:rPr>
          <w:rFonts w:ascii="Times New Roman" w:eastAsia="Times New Roman" w:hAnsi="Times New Roman" w:cs="Times New Roman"/>
          <w:sz w:val="24"/>
          <w:szCs w:val="24"/>
        </w:rPr>
        <w:t>embiayaan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i/>
          <w:iCs/>
          <w:sz w:val="24"/>
          <w:szCs w:val="24"/>
        </w:rPr>
        <w:t>mudharabah</w:t>
      </w:r>
      <w:proofErr w:type="spellEnd"/>
      <w:r w:rsidRPr="00B14ED8">
        <w:rPr>
          <w:rFonts w:ascii="Times New Roman" w:eastAsia="Times New Roman" w:hAnsi="Times New Roman" w:cs="Times New Roman"/>
          <w:i/>
          <w:iCs/>
          <w:sz w:val="24"/>
          <w:szCs w:val="24"/>
        </w:rPr>
        <w:t xml:space="preserve"> </w:t>
      </w:r>
      <w:proofErr w:type="spellStart"/>
      <w:r w:rsidR="000C22A7" w:rsidRPr="00B14ED8">
        <w:rPr>
          <w:rFonts w:ascii="Times New Roman" w:eastAsia="Times New Roman" w:hAnsi="Times New Roman" w:cs="Times New Roman"/>
          <w:sz w:val="24"/>
          <w:szCs w:val="24"/>
        </w:rPr>
        <w:t>berpengaruh</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terhadap</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kinerja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keuangan</w:t>
      </w:r>
      <w:proofErr w:type="spellEnd"/>
    </w:p>
    <w:p w14:paraId="32366A91" w14:textId="2775933B" w:rsidR="00980C1C" w:rsidRPr="00B14ED8" w:rsidRDefault="00980C1C" w:rsidP="00B14ED8">
      <w:pPr>
        <w:tabs>
          <w:tab w:val="left" w:pos="567"/>
        </w:tabs>
        <w:spacing w:after="0" w:line="360" w:lineRule="auto"/>
        <w:jc w:val="both"/>
        <w:rPr>
          <w:rFonts w:ascii="Times New Roman" w:eastAsia="Times New Roman" w:hAnsi="Times New Roman" w:cs="Times New Roman"/>
          <w:b/>
          <w:bCs/>
          <w:sz w:val="24"/>
          <w:szCs w:val="24"/>
        </w:rPr>
      </w:pPr>
      <w:proofErr w:type="spellStart"/>
      <w:r w:rsidRPr="00B14ED8">
        <w:rPr>
          <w:rFonts w:ascii="Times New Roman" w:eastAsia="Times New Roman" w:hAnsi="Times New Roman" w:cs="Times New Roman"/>
          <w:b/>
          <w:bCs/>
          <w:sz w:val="24"/>
          <w:szCs w:val="24"/>
        </w:rPr>
        <w:t>Hubungan</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Pembiayaan</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i/>
          <w:iCs/>
          <w:sz w:val="24"/>
          <w:szCs w:val="24"/>
        </w:rPr>
        <w:t>M</w:t>
      </w:r>
      <w:r w:rsidR="000871B1" w:rsidRPr="00B14ED8">
        <w:rPr>
          <w:rFonts w:ascii="Times New Roman" w:eastAsia="Times New Roman" w:hAnsi="Times New Roman" w:cs="Times New Roman"/>
          <w:b/>
          <w:bCs/>
          <w:i/>
          <w:iCs/>
          <w:sz w:val="24"/>
          <w:szCs w:val="24"/>
        </w:rPr>
        <w:t>usyarakah</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terhadap</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Kinerja</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Keuangan</w:t>
      </w:r>
      <w:proofErr w:type="spellEnd"/>
    </w:p>
    <w:p w14:paraId="1C6B4D4A" w14:textId="7BA869FA" w:rsidR="00DC335C" w:rsidRPr="00B14ED8" w:rsidRDefault="009F5212" w:rsidP="00B14ED8">
      <w:pPr>
        <w:tabs>
          <w:tab w:val="left" w:pos="567"/>
        </w:tabs>
        <w:spacing w:after="0" w:line="360" w:lineRule="auto"/>
        <w:ind w:firstLine="567"/>
        <w:jc w:val="both"/>
        <w:rPr>
          <w:rFonts w:ascii="Times New Roman" w:eastAsia="Times New Roman" w:hAnsi="Times New Roman" w:cs="Times New Roman"/>
          <w:sz w:val="24"/>
          <w:szCs w:val="24"/>
        </w:rPr>
      </w:pPr>
      <w:proofErr w:type="spellStart"/>
      <w:r w:rsidRPr="00B14ED8">
        <w:rPr>
          <w:rFonts w:ascii="Times New Roman" w:eastAsia="Times New Roman" w:hAnsi="Times New Roman" w:cs="Times New Roman"/>
          <w:sz w:val="24"/>
          <w:szCs w:val="24"/>
        </w:rPr>
        <w:t>Penelitian</w:t>
      </w:r>
      <w:proofErr w:type="spellEnd"/>
      <w:r w:rsidRPr="00B14ED8">
        <w:rPr>
          <w:rFonts w:ascii="Times New Roman" w:eastAsia="Times New Roman" w:hAnsi="Times New Roman" w:cs="Times New Roman"/>
          <w:sz w:val="24"/>
          <w:szCs w:val="24"/>
        </w:rPr>
        <w:t xml:space="preserve"> </w:t>
      </w:r>
      <w:r w:rsidR="00B5348D" w:rsidRPr="00B14ED8">
        <w:rPr>
          <w:rFonts w:ascii="Times New Roman" w:eastAsia="Times New Roman" w:hAnsi="Times New Roman" w:cs="Times New Roman"/>
          <w:sz w:val="24"/>
          <w:szCs w:val="24"/>
        </w:rPr>
        <w:fldChar w:fldCharType="begin" w:fldLock="1"/>
      </w:r>
      <w:r w:rsidR="00B5348D" w:rsidRPr="00B14ED8">
        <w:rPr>
          <w:rFonts w:ascii="Times New Roman" w:eastAsia="Times New Roman" w:hAnsi="Times New Roman" w:cs="Times New Roman"/>
          <w:sz w:val="24"/>
          <w:szCs w:val="24"/>
        </w:rPr>
        <w:instrText>ADDIN CSL_CITATION {"citationItems":[{"id":"ITEM-1","itemData":{"DOI":"10.20885/ajim.vol2.iss1.art5","abstract":"Purpose: This study aims to examine the effect of financing products with the principle of profit-loss sharing offered by Sharia Banks to the level of profitability of Sharia Banks. The financing product under profit sharing principle of Sharia Bank can be categorized into two types namely Mudharaba and Musharaka. The effect of Mudharaba and Musharaka on the profitability level of Sharia Banks is tested partially and simultaneously. In this study, the profitability level of Sharia Bank is measured by Return On Equity (ROE). Methodology: The sample of this research is the Sharia Bank registered in Bank Indonesia. The sample selection in this study used purposive sampling method and obtained6 samples for the study period of 2012-2016. This research uses Multiple Linear Regression analysis method to analyze the data. Findings: Results of this study indicate that financing products with profit-loss sharing principles represented by the proxy of Mudharaba and Musharaka have a significant effect on the profitability level of Sharia Banks for the period of 2012-2016. Mudharaba is partially significant and positive to the profitability level of Sharia Banks for the period of 2012-2016, Musharaka partially has a significant and negative effect on the profitability level of Sharia Banks for the period of 2012-2016, and Mudharaba and Musharaka simultaneously have a significant influence to the level of profitability of Sharia Banks for the period of 2012-2016. Originality: This study enriches the discussion of the effect of financing products with the principle of profit-loss sharing offered by Sharia Banks to the level of profitability of Sharia Bank. The effect of Mudharaba and Musharaka on the profitability level of Sharia Banks is tested to the profitability level of Sharia Banks","author":[{"dropping-particle":"","family":"Syahri","given":"Nurul Alfi","non-dropping-particle":"","parse-names":false,"suffix":""},{"dropping-particle":"","family":"Harjito","given":"Dwipraptono Agus","non-dropping-particle":"","parse-names":false,"suffix":""}],"container-title":"Asian Journal of Islamic Management (AJIM)","id":"ITEM-1","issue":"1","issued":{"date-parts":[["2020"]]},"page":"46-58","title":"The effect of financing using the principle of profit-loss sharing on profitability level of commercial Islamic bank registered in Bank Indonesia","type":"article-journal","volume":"2"},"uris":["http://www.mendeley.com/documents/?uuid=7bf21b12-2e15-4475-bea1-15d624a5d3eb"]},{"id":"ITEM-2","itemData":{"DOI":"10.21154/niqosiya.v1i2.413","ISSN":"2798-6373","abstract":"Aim of this research is the phenomenon on the 2016-2020 financial statements of BRI Syariah Bank. It shows that the increase in income is not always followed by an increase in Return On Equity (ROE) at BRI Syariah Bank, vice versa. The purpose of this study was to determine the effect of mudharabah, musyaraka, and ijarah both in the long and short term on Return On Equity (ROE). The method of this study used quantitative methods, and used secondary data. The population and sample used in this study are BRI Syariah Bank monthly reports, including mudharabah, musyaraka, and ijarah in the 2016-2020 period. The analytical method used is the Error Correction Model (ECM) with the Eviews program. The results in this study indicate that in the short term and long term, mudharabah has a significant positive effect on return on equity (ROE), the short term results show that the t-statistic (t-count) is greater than the t-critical (2.833045&gt;2.002247). . Meanwhile, the results of the long-term test show that the t-statistic (t-count) is more significant than t-critical (2.467613&gt;2.002247). Musharaka in the short term and long term affects the return on equity (ROE). The short-term results show that the t-statistic (t-count) is greater than the t-critical (2.909601&gt;2.002247). Meanwhile, the results of the long-term test show that the t-statistic (t-count) is more significant than t-critical (2.733504&gt;2.002247). While ijarah in the short term and the long term does not affect the return on equity (ROE), the short term results show that the t-statistic (t-count) is greater than the t-critical (1.330407&lt;2.002247). Meanwhile, the results of the long-term test show that the t-statistic (t-count) is more significant than t-critical (1.256261&lt;2.002247). Simultaneously, in the short term, mudharabah, Musharaka, and ijarah have a significant and positive effect on the return on equity (ROE) of 23.8249%. While in the long term, it has a significant effect of 28.3164%.","author":[{"dropping-particle":"","family":"Fransiska","given":"Filia","non-dropping-particle":"","parse-names":false,"suffix":""},{"dropping-particle":"","family":"Rahman","given":"Asmak Ab","non-dropping-particle":"","parse-names":false,"suffix":""},{"dropping-particle":"","family":"Maharani","given":"Shinta","non-dropping-particle":"","parse-names":false,"suffix":""}],"container-title":"Niqosiya: Journal of Economics and Business Research","id":"ITEM-2","issue":"2","issued":{"date-parts":[["2021"]]},"page":"268-285","title":"The Effect of Mudharabah, Musharaka, and Ijarah Financing To Return on Equity in Bank Bri Sharia Period 2016-2020","type":"article-journal","volume":"1"},"uris":["http://www.mendeley.com/documents/?uuid=03a21748-7dc7-4277-98e6-470cb1f6cf7c"]},{"id":"ITEM-3","itemData":{"abstract":"This study at to analyze the effect of mudharabah and musharakah to profitability. This research collects empirical evidence. The population in this study is the whole of financing, musharakah financing and return on assets of Islamic banks in Indonesia. The data is taken from the financial statements of income and statements of financial position. Based on this research, known variables influence mudharabah and musharakah has a significant effect on profitability simultaneously. Partially, the mudarabah variable has a positive effect, but no significant effect on profitability. While the musyarakah variable has a partially positive and significant impact on profitability.","author":[{"dropping-particle":"","family":"Syahputra","given":"Rahmad","non-dropping-particle":"","parse-names":false,"suffix":""}],"container-title":"IJAFIBS","id":"ITEM-3","issue":"4","issued":{"date-parts":[["2021"]]},"page":"142-147","title":"The Effect of Mudharabah and Musyarakah Financing Risks on The Profitability of Sharia Commercial Banks in Indonesia","type":"article-journal","volume":"8"},"uris":["http://www.mendeley.com/documents/?uuid=fda545c0-a483-4061-93c0-71b39a92e6e3"]}],"mendeley":{"formattedCitation":"(Fransiska et al., 2021; Syahputra, 2021; Syahri &amp; Harjito, 2020)","manualFormatting":"Fransiska et al (2021); Syahputra (2021) serta Syahri &amp; Harjito (2020)","plainTextFormattedCitation":"(Fransiska et al., 2021; Syahputra, 2021; Syahri &amp; Harjito, 2020)","previouslyFormattedCitation":"(Fransiska et al., 2021; Syahputra, 2021; Syahri &amp; Harjito, 2020)"},"properties":{"noteIndex":0},"schema":"https://github.com/citation-style-language/schema/raw/master/csl-citation.json"}</w:instrText>
      </w:r>
      <w:r w:rsidR="00B5348D" w:rsidRPr="00B14ED8">
        <w:rPr>
          <w:rFonts w:ascii="Times New Roman" w:eastAsia="Times New Roman" w:hAnsi="Times New Roman" w:cs="Times New Roman"/>
          <w:sz w:val="24"/>
          <w:szCs w:val="24"/>
        </w:rPr>
        <w:fldChar w:fldCharType="separate"/>
      </w:r>
      <w:r w:rsidR="00B5348D" w:rsidRPr="00B14ED8">
        <w:rPr>
          <w:rFonts w:ascii="Times New Roman" w:eastAsia="Times New Roman" w:hAnsi="Times New Roman" w:cs="Times New Roman"/>
          <w:noProof/>
          <w:sz w:val="24"/>
          <w:szCs w:val="24"/>
        </w:rPr>
        <w:t>Fransiska et al (2021); Syahputra (2021) serta Syahri &amp; Harjito (2020)</w:t>
      </w:r>
      <w:r w:rsidR="00B5348D" w:rsidRPr="00B14ED8">
        <w:rPr>
          <w:rFonts w:ascii="Times New Roman" w:eastAsia="Times New Roman" w:hAnsi="Times New Roman" w:cs="Times New Roman"/>
          <w:sz w:val="24"/>
          <w:szCs w:val="24"/>
        </w:rPr>
        <w:fldChar w:fldCharType="end"/>
      </w:r>
      <w:r w:rsidR="00B5348D" w:rsidRPr="00B14ED8">
        <w:rPr>
          <w:rFonts w:ascii="Times New Roman" w:eastAsia="Times New Roman" w:hAnsi="Times New Roman" w:cs="Times New Roman"/>
          <w:sz w:val="24"/>
          <w:szCs w:val="24"/>
        </w:rPr>
        <w:t xml:space="preserve"> </w:t>
      </w:r>
      <w:proofErr w:type="spellStart"/>
      <w:r w:rsidR="00B5348D" w:rsidRPr="00B14ED8">
        <w:rPr>
          <w:rFonts w:ascii="Times New Roman" w:eastAsia="Times New Roman" w:hAnsi="Times New Roman" w:cs="Times New Roman"/>
          <w:sz w:val="24"/>
          <w:szCs w:val="24"/>
        </w:rPr>
        <w:t>menyimpulkan</w:t>
      </w:r>
      <w:proofErr w:type="spellEnd"/>
      <w:r w:rsidR="00B5348D" w:rsidRPr="00B14ED8">
        <w:rPr>
          <w:rFonts w:ascii="Times New Roman" w:eastAsia="Times New Roman" w:hAnsi="Times New Roman" w:cs="Times New Roman"/>
          <w:sz w:val="24"/>
          <w:szCs w:val="24"/>
        </w:rPr>
        <w:t xml:space="preserve"> </w:t>
      </w:r>
      <w:proofErr w:type="spellStart"/>
      <w:r w:rsidR="00224CE6" w:rsidRPr="00B14ED8">
        <w:rPr>
          <w:rFonts w:ascii="Times New Roman" w:eastAsia="Times New Roman" w:hAnsi="Times New Roman" w:cs="Times New Roman"/>
          <w:sz w:val="24"/>
          <w:szCs w:val="24"/>
        </w:rPr>
        <w:t>bahwa</w:t>
      </w:r>
      <w:proofErr w:type="spellEnd"/>
      <w:r w:rsidR="00224CE6" w:rsidRPr="00B14ED8">
        <w:rPr>
          <w:rFonts w:ascii="Times New Roman" w:eastAsia="Times New Roman" w:hAnsi="Times New Roman" w:cs="Times New Roman"/>
          <w:sz w:val="24"/>
          <w:szCs w:val="24"/>
        </w:rPr>
        <w:t xml:space="preserve"> </w:t>
      </w:r>
      <w:proofErr w:type="spellStart"/>
      <w:r w:rsidR="00B5348D" w:rsidRPr="00B14ED8">
        <w:rPr>
          <w:rFonts w:ascii="Times New Roman" w:eastAsia="Times New Roman" w:hAnsi="Times New Roman" w:cs="Times New Roman"/>
          <w:sz w:val="24"/>
          <w:szCs w:val="24"/>
        </w:rPr>
        <w:t>pembiayaan</w:t>
      </w:r>
      <w:proofErr w:type="spellEnd"/>
      <w:r w:rsidR="00B5348D" w:rsidRPr="00B14ED8">
        <w:rPr>
          <w:rFonts w:ascii="Times New Roman" w:eastAsia="Times New Roman" w:hAnsi="Times New Roman" w:cs="Times New Roman"/>
          <w:sz w:val="24"/>
          <w:szCs w:val="24"/>
        </w:rPr>
        <w:t xml:space="preserve"> </w:t>
      </w:r>
      <w:proofErr w:type="spellStart"/>
      <w:r w:rsidR="00B5348D" w:rsidRPr="00B14ED8">
        <w:rPr>
          <w:rFonts w:ascii="Times New Roman" w:eastAsia="Times New Roman" w:hAnsi="Times New Roman" w:cs="Times New Roman"/>
          <w:i/>
          <w:iCs/>
          <w:sz w:val="24"/>
          <w:szCs w:val="24"/>
        </w:rPr>
        <w:t>musyarakah</w:t>
      </w:r>
      <w:proofErr w:type="spellEnd"/>
      <w:r w:rsidR="00B5348D" w:rsidRPr="00B14ED8">
        <w:rPr>
          <w:rFonts w:ascii="Times New Roman" w:eastAsia="Times New Roman" w:hAnsi="Times New Roman" w:cs="Times New Roman"/>
          <w:i/>
          <w:iCs/>
          <w:sz w:val="24"/>
          <w:szCs w:val="24"/>
        </w:rPr>
        <w:t xml:space="preserve"> </w:t>
      </w:r>
      <w:proofErr w:type="spellStart"/>
      <w:r w:rsidR="00B5348D" w:rsidRPr="00B14ED8">
        <w:rPr>
          <w:rFonts w:ascii="Times New Roman" w:eastAsia="Times New Roman" w:hAnsi="Times New Roman" w:cs="Times New Roman"/>
          <w:sz w:val="24"/>
          <w:szCs w:val="24"/>
        </w:rPr>
        <w:t>memberikan</w:t>
      </w:r>
      <w:proofErr w:type="spellEnd"/>
      <w:r w:rsidR="00B5348D" w:rsidRPr="00B14ED8">
        <w:rPr>
          <w:rFonts w:ascii="Times New Roman" w:eastAsia="Times New Roman" w:hAnsi="Times New Roman" w:cs="Times New Roman"/>
          <w:sz w:val="24"/>
          <w:szCs w:val="24"/>
        </w:rPr>
        <w:t xml:space="preserve"> </w:t>
      </w:r>
      <w:proofErr w:type="spellStart"/>
      <w:r w:rsidR="00B5348D" w:rsidRPr="00B14ED8">
        <w:rPr>
          <w:rFonts w:ascii="Times New Roman" w:eastAsia="Times New Roman" w:hAnsi="Times New Roman" w:cs="Times New Roman"/>
          <w:sz w:val="24"/>
          <w:szCs w:val="24"/>
        </w:rPr>
        <w:t>pengaruh</w:t>
      </w:r>
      <w:proofErr w:type="spellEnd"/>
      <w:r w:rsidR="00B5348D" w:rsidRPr="00B14ED8">
        <w:rPr>
          <w:rFonts w:ascii="Times New Roman" w:eastAsia="Times New Roman" w:hAnsi="Times New Roman" w:cs="Times New Roman"/>
          <w:sz w:val="24"/>
          <w:szCs w:val="24"/>
        </w:rPr>
        <w:t xml:space="preserve"> </w:t>
      </w:r>
      <w:proofErr w:type="spellStart"/>
      <w:r w:rsidR="00B5348D" w:rsidRPr="00B14ED8">
        <w:rPr>
          <w:rFonts w:ascii="Times New Roman" w:eastAsia="Times New Roman" w:hAnsi="Times New Roman" w:cs="Times New Roman"/>
          <w:sz w:val="24"/>
          <w:szCs w:val="24"/>
        </w:rPr>
        <w:t>positif</w:t>
      </w:r>
      <w:proofErr w:type="spellEnd"/>
      <w:r w:rsidR="00B5348D" w:rsidRPr="00B14ED8">
        <w:rPr>
          <w:rFonts w:ascii="Times New Roman" w:eastAsia="Times New Roman" w:hAnsi="Times New Roman" w:cs="Times New Roman"/>
          <w:sz w:val="24"/>
          <w:szCs w:val="24"/>
        </w:rPr>
        <w:t xml:space="preserve"> </w:t>
      </w:r>
      <w:proofErr w:type="spellStart"/>
      <w:r w:rsidR="00B5348D" w:rsidRPr="00B14ED8">
        <w:rPr>
          <w:rFonts w:ascii="Times New Roman" w:eastAsia="Times New Roman" w:hAnsi="Times New Roman" w:cs="Times New Roman"/>
          <w:sz w:val="24"/>
          <w:szCs w:val="24"/>
        </w:rPr>
        <w:t>signifikan</w:t>
      </w:r>
      <w:proofErr w:type="spellEnd"/>
      <w:r w:rsidR="00B5348D" w:rsidRPr="00B14ED8">
        <w:rPr>
          <w:rFonts w:ascii="Times New Roman" w:eastAsia="Times New Roman" w:hAnsi="Times New Roman" w:cs="Times New Roman"/>
          <w:sz w:val="24"/>
          <w:szCs w:val="24"/>
        </w:rPr>
        <w:t xml:space="preserve"> </w:t>
      </w:r>
      <w:proofErr w:type="spellStart"/>
      <w:r w:rsidR="00B5348D" w:rsidRPr="00B14ED8">
        <w:rPr>
          <w:rFonts w:ascii="Times New Roman" w:eastAsia="Times New Roman" w:hAnsi="Times New Roman" w:cs="Times New Roman"/>
          <w:sz w:val="24"/>
          <w:szCs w:val="24"/>
        </w:rPr>
        <w:t>terhadap</w:t>
      </w:r>
      <w:proofErr w:type="spellEnd"/>
      <w:r w:rsidR="00B5348D" w:rsidRPr="00B14ED8">
        <w:rPr>
          <w:rFonts w:ascii="Times New Roman" w:eastAsia="Times New Roman" w:hAnsi="Times New Roman" w:cs="Times New Roman"/>
          <w:sz w:val="24"/>
          <w:szCs w:val="24"/>
        </w:rPr>
        <w:t xml:space="preserve"> </w:t>
      </w:r>
      <w:proofErr w:type="spellStart"/>
      <w:r w:rsidR="00B5348D" w:rsidRPr="00B14ED8">
        <w:rPr>
          <w:rFonts w:ascii="Times New Roman" w:eastAsia="Times New Roman" w:hAnsi="Times New Roman" w:cs="Times New Roman"/>
          <w:sz w:val="24"/>
          <w:szCs w:val="24"/>
        </w:rPr>
        <w:t>kinerja</w:t>
      </w:r>
      <w:proofErr w:type="spellEnd"/>
      <w:r w:rsidR="00B5348D" w:rsidRPr="00B14ED8">
        <w:rPr>
          <w:rFonts w:ascii="Times New Roman" w:eastAsia="Times New Roman" w:hAnsi="Times New Roman" w:cs="Times New Roman"/>
          <w:sz w:val="24"/>
          <w:szCs w:val="24"/>
        </w:rPr>
        <w:t xml:space="preserve"> </w:t>
      </w:r>
      <w:proofErr w:type="spellStart"/>
      <w:r w:rsidR="00B5348D" w:rsidRPr="00B14ED8">
        <w:rPr>
          <w:rFonts w:ascii="Times New Roman" w:eastAsia="Times New Roman" w:hAnsi="Times New Roman" w:cs="Times New Roman"/>
          <w:sz w:val="24"/>
          <w:szCs w:val="24"/>
        </w:rPr>
        <w:t>keuangan</w:t>
      </w:r>
      <w:proofErr w:type="spellEnd"/>
      <w:r w:rsidR="00B5348D" w:rsidRPr="00B14ED8">
        <w:rPr>
          <w:rFonts w:ascii="Times New Roman" w:eastAsia="Times New Roman" w:hAnsi="Times New Roman" w:cs="Times New Roman"/>
          <w:sz w:val="24"/>
          <w:szCs w:val="24"/>
        </w:rPr>
        <w:t>.</w:t>
      </w:r>
      <w:r w:rsidR="00314E99" w:rsidRPr="00B14ED8">
        <w:rPr>
          <w:rFonts w:ascii="Times New Roman" w:eastAsia="Times New Roman" w:hAnsi="Times New Roman" w:cs="Times New Roman"/>
          <w:sz w:val="24"/>
          <w:szCs w:val="24"/>
        </w:rPr>
        <w:t xml:space="preserve"> </w:t>
      </w:r>
      <w:proofErr w:type="spellStart"/>
      <w:r w:rsidR="00314E99" w:rsidRPr="00B14ED8">
        <w:rPr>
          <w:rFonts w:ascii="Times New Roman" w:eastAsia="Times New Roman" w:hAnsi="Times New Roman" w:cs="Times New Roman"/>
          <w:sz w:val="24"/>
          <w:szCs w:val="24"/>
        </w:rPr>
        <w:t>Dengan</w:t>
      </w:r>
      <w:proofErr w:type="spellEnd"/>
      <w:r w:rsidR="00314E99" w:rsidRPr="00B14ED8">
        <w:rPr>
          <w:rFonts w:ascii="Times New Roman" w:eastAsia="Times New Roman" w:hAnsi="Times New Roman" w:cs="Times New Roman"/>
          <w:sz w:val="24"/>
          <w:szCs w:val="24"/>
        </w:rPr>
        <w:t xml:space="preserve"> </w:t>
      </w:r>
      <w:proofErr w:type="spellStart"/>
      <w:r w:rsidR="00314E99" w:rsidRPr="00B14ED8">
        <w:rPr>
          <w:rFonts w:ascii="Times New Roman" w:eastAsia="Times New Roman" w:hAnsi="Times New Roman" w:cs="Times New Roman"/>
          <w:sz w:val="24"/>
          <w:szCs w:val="24"/>
        </w:rPr>
        <w:t>semakin</w:t>
      </w:r>
      <w:proofErr w:type="spellEnd"/>
      <w:r w:rsidR="00314E99" w:rsidRPr="00B14ED8">
        <w:rPr>
          <w:rFonts w:ascii="Times New Roman" w:eastAsia="Times New Roman" w:hAnsi="Times New Roman" w:cs="Times New Roman"/>
          <w:sz w:val="24"/>
          <w:szCs w:val="24"/>
        </w:rPr>
        <w:t xml:space="preserve"> </w:t>
      </w:r>
      <w:proofErr w:type="spellStart"/>
      <w:r w:rsidR="00314E99" w:rsidRPr="00B14ED8">
        <w:rPr>
          <w:rFonts w:ascii="Times New Roman" w:eastAsia="Times New Roman" w:hAnsi="Times New Roman" w:cs="Times New Roman"/>
          <w:sz w:val="24"/>
          <w:szCs w:val="24"/>
        </w:rPr>
        <w:t>tingginya</w:t>
      </w:r>
      <w:proofErr w:type="spellEnd"/>
      <w:r w:rsidR="00314E99" w:rsidRPr="00B14ED8">
        <w:rPr>
          <w:rFonts w:ascii="Times New Roman" w:eastAsia="Times New Roman" w:hAnsi="Times New Roman" w:cs="Times New Roman"/>
          <w:sz w:val="24"/>
          <w:szCs w:val="24"/>
        </w:rPr>
        <w:t xml:space="preserve"> </w:t>
      </w:r>
      <w:proofErr w:type="spellStart"/>
      <w:r w:rsidR="00314E99" w:rsidRPr="00B14ED8">
        <w:rPr>
          <w:rFonts w:ascii="Times New Roman" w:eastAsia="Times New Roman" w:hAnsi="Times New Roman" w:cs="Times New Roman"/>
          <w:sz w:val="24"/>
          <w:szCs w:val="24"/>
        </w:rPr>
        <w:t>nilai</w:t>
      </w:r>
      <w:proofErr w:type="spellEnd"/>
      <w:r w:rsidR="00314E99" w:rsidRPr="00B14ED8">
        <w:rPr>
          <w:rFonts w:ascii="Times New Roman" w:eastAsia="Times New Roman" w:hAnsi="Times New Roman" w:cs="Times New Roman"/>
          <w:sz w:val="24"/>
          <w:szCs w:val="24"/>
        </w:rPr>
        <w:t xml:space="preserve"> </w:t>
      </w:r>
      <w:proofErr w:type="spellStart"/>
      <w:r w:rsidR="00314E99" w:rsidRPr="00B14ED8">
        <w:rPr>
          <w:rFonts w:ascii="Times New Roman" w:eastAsia="Times New Roman" w:hAnsi="Times New Roman" w:cs="Times New Roman"/>
          <w:sz w:val="24"/>
          <w:szCs w:val="24"/>
        </w:rPr>
        <w:t>pembiayaan</w:t>
      </w:r>
      <w:proofErr w:type="spellEnd"/>
      <w:r w:rsidR="00314E99" w:rsidRPr="00B14ED8">
        <w:rPr>
          <w:rFonts w:ascii="Times New Roman" w:eastAsia="Times New Roman" w:hAnsi="Times New Roman" w:cs="Times New Roman"/>
          <w:sz w:val="24"/>
          <w:szCs w:val="24"/>
        </w:rPr>
        <w:t xml:space="preserve"> </w:t>
      </w:r>
      <w:proofErr w:type="spellStart"/>
      <w:r w:rsidR="00314E99" w:rsidRPr="00B14ED8">
        <w:rPr>
          <w:rFonts w:ascii="Times New Roman" w:eastAsia="Times New Roman" w:hAnsi="Times New Roman" w:cs="Times New Roman"/>
          <w:i/>
          <w:iCs/>
          <w:sz w:val="24"/>
          <w:szCs w:val="24"/>
        </w:rPr>
        <w:t>musyarakah</w:t>
      </w:r>
      <w:proofErr w:type="spellEnd"/>
      <w:r w:rsidR="00314E99" w:rsidRPr="00B14ED8">
        <w:rPr>
          <w:rFonts w:ascii="Times New Roman" w:eastAsia="Times New Roman" w:hAnsi="Times New Roman" w:cs="Times New Roman"/>
          <w:i/>
          <w:iCs/>
          <w:sz w:val="24"/>
          <w:szCs w:val="24"/>
        </w:rPr>
        <w:t xml:space="preserve"> </w:t>
      </w:r>
      <w:r w:rsidR="0016644B" w:rsidRPr="00B14ED8">
        <w:rPr>
          <w:rFonts w:ascii="Times New Roman" w:eastAsia="Times New Roman" w:hAnsi="Times New Roman" w:cs="Times New Roman"/>
          <w:sz w:val="24"/>
          <w:szCs w:val="24"/>
        </w:rPr>
        <w:t xml:space="preserve">yang </w:t>
      </w:r>
      <w:proofErr w:type="spellStart"/>
      <w:r w:rsidR="00FE1722" w:rsidRPr="00B14ED8">
        <w:rPr>
          <w:rFonts w:ascii="Times New Roman" w:eastAsia="Times New Roman" w:hAnsi="Times New Roman" w:cs="Times New Roman"/>
          <w:sz w:val="24"/>
          <w:szCs w:val="24"/>
        </w:rPr>
        <w:t>di</w:t>
      </w:r>
      <w:r w:rsidR="007A57EF" w:rsidRPr="00B14ED8">
        <w:rPr>
          <w:rFonts w:ascii="Times New Roman" w:eastAsia="Times New Roman" w:hAnsi="Times New Roman" w:cs="Times New Roman"/>
          <w:sz w:val="24"/>
          <w:szCs w:val="24"/>
        </w:rPr>
        <w:t>investasikan</w:t>
      </w:r>
      <w:proofErr w:type="spellEnd"/>
      <w:r w:rsidR="007A57EF" w:rsidRPr="00B14ED8">
        <w:rPr>
          <w:rFonts w:ascii="Times New Roman" w:eastAsia="Times New Roman" w:hAnsi="Times New Roman" w:cs="Times New Roman"/>
          <w:sz w:val="24"/>
          <w:szCs w:val="24"/>
        </w:rPr>
        <w:t xml:space="preserve"> </w:t>
      </w:r>
      <w:proofErr w:type="spellStart"/>
      <w:r w:rsidR="00776678" w:rsidRPr="00B14ED8">
        <w:rPr>
          <w:rFonts w:ascii="Times New Roman" w:eastAsia="Times New Roman" w:hAnsi="Times New Roman" w:cs="Times New Roman"/>
          <w:sz w:val="24"/>
          <w:szCs w:val="24"/>
        </w:rPr>
        <w:t>akan</w:t>
      </w:r>
      <w:proofErr w:type="spellEnd"/>
      <w:r w:rsidR="00776678" w:rsidRPr="00B14ED8">
        <w:rPr>
          <w:rFonts w:ascii="Times New Roman" w:eastAsia="Times New Roman" w:hAnsi="Times New Roman" w:cs="Times New Roman"/>
          <w:sz w:val="24"/>
          <w:szCs w:val="24"/>
        </w:rPr>
        <w:t xml:space="preserve"> </w:t>
      </w:r>
      <w:proofErr w:type="spellStart"/>
      <w:r w:rsidR="00776678" w:rsidRPr="00B14ED8">
        <w:rPr>
          <w:rFonts w:ascii="Times New Roman" w:eastAsia="Times New Roman" w:hAnsi="Times New Roman" w:cs="Times New Roman"/>
          <w:sz w:val="24"/>
          <w:szCs w:val="24"/>
        </w:rPr>
        <w:t>berdampak</w:t>
      </w:r>
      <w:proofErr w:type="spellEnd"/>
      <w:r w:rsidR="00DC335C" w:rsidRPr="00B14ED8">
        <w:rPr>
          <w:rFonts w:ascii="Times New Roman" w:eastAsia="Times New Roman" w:hAnsi="Times New Roman" w:cs="Times New Roman"/>
          <w:sz w:val="24"/>
          <w:szCs w:val="24"/>
        </w:rPr>
        <w:t xml:space="preserve"> pada </w:t>
      </w:r>
      <w:proofErr w:type="spellStart"/>
      <w:r w:rsidR="00DC335C" w:rsidRPr="00B14ED8">
        <w:rPr>
          <w:rFonts w:ascii="Times New Roman" w:eastAsia="Times New Roman" w:hAnsi="Times New Roman" w:cs="Times New Roman"/>
          <w:sz w:val="24"/>
          <w:szCs w:val="24"/>
        </w:rPr>
        <w:t>peningkatan</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nilai</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kinerja</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keuangan</w:t>
      </w:r>
      <w:proofErr w:type="spellEnd"/>
      <w:r w:rsidR="00DC335C" w:rsidRPr="00B14ED8">
        <w:rPr>
          <w:rFonts w:ascii="Times New Roman" w:eastAsia="Times New Roman" w:hAnsi="Times New Roman" w:cs="Times New Roman"/>
          <w:sz w:val="24"/>
          <w:szCs w:val="24"/>
        </w:rPr>
        <w:t xml:space="preserve"> yang </w:t>
      </w:r>
      <w:proofErr w:type="spellStart"/>
      <w:r w:rsidR="00DC335C" w:rsidRPr="00B14ED8">
        <w:rPr>
          <w:rFonts w:ascii="Times New Roman" w:eastAsia="Times New Roman" w:hAnsi="Times New Roman" w:cs="Times New Roman"/>
          <w:sz w:val="24"/>
          <w:szCs w:val="24"/>
        </w:rPr>
        <w:t>dihasilkan</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Investasi</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pembiayaan</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i/>
          <w:iCs/>
          <w:sz w:val="24"/>
          <w:szCs w:val="24"/>
        </w:rPr>
        <w:t>musyarakah</w:t>
      </w:r>
      <w:proofErr w:type="spellEnd"/>
      <w:r w:rsidR="00DC335C" w:rsidRPr="00B14ED8">
        <w:rPr>
          <w:rFonts w:ascii="Times New Roman" w:eastAsia="Times New Roman" w:hAnsi="Times New Roman" w:cs="Times New Roman"/>
          <w:i/>
          <w:iCs/>
          <w:sz w:val="24"/>
          <w:szCs w:val="24"/>
        </w:rPr>
        <w:t xml:space="preserve"> </w:t>
      </w:r>
      <w:r w:rsidR="00DC335C" w:rsidRPr="00B14ED8">
        <w:rPr>
          <w:rFonts w:ascii="Times New Roman" w:eastAsia="Times New Roman" w:hAnsi="Times New Roman" w:cs="Times New Roman"/>
          <w:sz w:val="24"/>
          <w:szCs w:val="24"/>
        </w:rPr>
        <w:t xml:space="preserve">yang </w:t>
      </w:r>
      <w:proofErr w:type="spellStart"/>
      <w:r w:rsidR="00DC335C" w:rsidRPr="00B14ED8">
        <w:rPr>
          <w:rFonts w:ascii="Times New Roman" w:eastAsia="Times New Roman" w:hAnsi="Times New Roman" w:cs="Times New Roman"/>
          <w:sz w:val="24"/>
          <w:szCs w:val="24"/>
        </w:rPr>
        <w:t>mampu</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dikelola</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dengan</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baik</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serta</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direalisasikan</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dengan</w:t>
      </w:r>
      <w:proofErr w:type="spellEnd"/>
      <w:r w:rsidR="00DC335C" w:rsidRPr="00B14ED8">
        <w:rPr>
          <w:rFonts w:ascii="Times New Roman" w:eastAsia="Times New Roman" w:hAnsi="Times New Roman" w:cs="Times New Roman"/>
          <w:sz w:val="24"/>
          <w:szCs w:val="24"/>
        </w:rPr>
        <w:t xml:space="preserve"> rasa </w:t>
      </w:r>
      <w:proofErr w:type="spellStart"/>
      <w:r w:rsidR="00DC335C" w:rsidRPr="00B14ED8">
        <w:rPr>
          <w:rFonts w:ascii="Times New Roman" w:eastAsia="Times New Roman" w:hAnsi="Times New Roman" w:cs="Times New Roman"/>
          <w:sz w:val="24"/>
          <w:szCs w:val="24"/>
        </w:rPr>
        <w:t>kepercayaan</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tinggi</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antara</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perbankan</w:t>
      </w:r>
      <w:proofErr w:type="spellEnd"/>
      <w:r w:rsidR="00DC335C" w:rsidRPr="00B14ED8">
        <w:rPr>
          <w:rFonts w:ascii="Times New Roman" w:eastAsia="Times New Roman" w:hAnsi="Times New Roman" w:cs="Times New Roman"/>
          <w:sz w:val="24"/>
          <w:szCs w:val="24"/>
        </w:rPr>
        <w:t xml:space="preserve"> dan </w:t>
      </w:r>
      <w:proofErr w:type="spellStart"/>
      <w:r w:rsidR="00DC335C" w:rsidRPr="00B14ED8">
        <w:rPr>
          <w:rFonts w:ascii="Times New Roman" w:eastAsia="Times New Roman" w:hAnsi="Times New Roman" w:cs="Times New Roman"/>
          <w:i/>
          <w:iCs/>
          <w:sz w:val="24"/>
          <w:szCs w:val="24"/>
        </w:rPr>
        <w:t>mudarib</w:t>
      </w:r>
      <w:proofErr w:type="spellEnd"/>
      <w:r w:rsidR="00DC335C" w:rsidRPr="00B14ED8">
        <w:rPr>
          <w:rFonts w:ascii="Times New Roman" w:eastAsia="Times New Roman" w:hAnsi="Times New Roman" w:cs="Times New Roman"/>
          <w:i/>
          <w:iCs/>
          <w:sz w:val="24"/>
          <w:szCs w:val="24"/>
        </w:rPr>
        <w:t xml:space="preserve"> </w:t>
      </w:r>
      <w:proofErr w:type="spellStart"/>
      <w:r w:rsidR="00DC335C" w:rsidRPr="00B14ED8">
        <w:rPr>
          <w:rFonts w:ascii="Times New Roman" w:eastAsia="Times New Roman" w:hAnsi="Times New Roman" w:cs="Times New Roman"/>
          <w:sz w:val="24"/>
          <w:szCs w:val="24"/>
        </w:rPr>
        <w:t>mendorong</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kenaikan</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nilai</w:t>
      </w:r>
      <w:proofErr w:type="spellEnd"/>
      <w:r w:rsidR="00DC335C" w:rsidRPr="00B14ED8">
        <w:rPr>
          <w:rFonts w:ascii="Times New Roman" w:eastAsia="Times New Roman" w:hAnsi="Times New Roman" w:cs="Times New Roman"/>
          <w:sz w:val="24"/>
          <w:szCs w:val="24"/>
        </w:rPr>
        <w:t xml:space="preserve"> profit yang </w:t>
      </w:r>
      <w:proofErr w:type="spellStart"/>
      <w:r w:rsidR="00DC335C" w:rsidRPr="00B14ED8">
        <w:rPr>
          <w:rFonts w:ascii="Times New Roman" w:eastAsia="Times New Roman" w:hAnsi="Times New Roman" w:cs="Times New Roman"/>
          <w:sz w:val="24"/>
          <w:szCs w:val="24"/>
        </w:rPr>
        <w:t>berdampak</w:t>
      </w:r>
      <w:proofErr w:type="spellEnd"/>
      <w:r w:rsidR="00DC335C" w:rsidRPr="00B14ED8">
        <w:rPr>
          <w:rFonts w:ascii="Times New Roman" w:eastAsia="Times New Roman" w:hAnsi="Times New Roman" w:cs="Times New Roman"/>
          <w:sz w:val="24"/>
          <w:szCs w:val="24"/>
        </w:rPr>
        <w:t xml:space="preserve"> pada </w:t>
      </w:r>
      <w:proofErr w:type="spellStart"/>
      <w:r w:rsidR="00DC335C" w:rsidRPr="00B14ED8">
        <w:rPr>
          <w:rFonts w:ascii="Times New Roman" w:eastAsia="Times New Roman" w:hAnsi="Times New Roman" w:cs="Times New Roman"/>
          <w:sz w:val="24"/>
          <w:szCs w:val="24"/>
        </w:rPr>
        <w:t>peningkatan</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kinerja</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keuangan</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Berdasarkan</w:t>
      </w:r>
      <w:proofErr w:type="spellEnd"/>
      <w:r w:rsidR="00DC335C" w:rsidRPr="00B14ED8">
        <w:rPr>
          <w:rFonts w:ascii="Times New Roman" w:eastAsia="Times New Roman" w:hAnsi="Times New Roman" w:cs="Times New Roman"/>
          <w:sz w:val="24"/>
          <w:szCs w:val="24"/>
        </w:rPr>
        <w:t xml:space="preserve"> pada </w:t>
      </w:r>
      <w:proofErr w:type="spellStart"/>
      <w:r w:rsidR="00DC335C" w:rsidRPr="00B14ED8">
        <w:rPr>
          <w:rFonts w:ascii="Times New Roman" w:eastAsia="Times New Roman" w:hAnsi="Times New Roman" w:cs="Times New Roman"/>
          <w:sz w:val="24"/>
          <w:szCs w:val="24"/>
        </w:rPr>
        <w:t>keterangan</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ini</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maka</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hipotesis</w:t>
      </w:r>
      <w:proofErr w:type="spellEnd"/>
      <w:r w:rsidR="00DC335C" w:rsidRPr="00B14ED8">
        <w:rPr>
          <w:rFonts w:ascii="Times New Roman" w:eastAsia="Times New Roman" w:hAnsi="Times New Roman" w:cs="Times New Roman"/>
          <w:sz w:val="24"/>
          <w:szCs w:val="24"/>
        </w:rPr>
        <w:t xml:space="preserve"> 2 </w:t>
      </w:r>
      <w:proofErr w:type="spellStart"/>
      <w:r w:rsidR="00DC335C" w:rsidRPr="00B14ED8">
        <w:rPr>
          <w:rFonts w:ascii="Times New Roman" w:eastAsia="Times New Roman" w:hAnsi="Times New Roman" w:cs="Times New Roman"/>
          <w:sz w:val="24"/>
          <w:szCs w:val="24"/>
        </w:rPr>
        <w:t>penelitian</w:t>
      </w:r>
      <w:proofErr w:type="spellEnd"/>
      <w:r w:rsidR="00DC335C" w:rsidRPr="00B14ED8">
        <w:rPr>
          <w:rFonts w:ascii="Times New Roman" w:eastAsia="Times New Roman" w:hAnsi="Times New Roman" w:cs="Times New Roman"/>
          <w:sz w:val="24"/>
          <w:szCs w:val="24"/>
        </w:rPr>
        <w:t xml:space="preserve"> yang </w:t>
      </w:r>
      <w:proofErr w:type="spellStart"/>
      <w:r w:rsidR="00DC335C" w:rsidRPr="00B14ED8">
        <w:rPr>
          <w:rFonts w:ascii="Times New Roman" w:eastAsia="Times New Roman" w:hAnsi="Times New Roman" w:cs="Times New Roman"/>
          <w:sz w:val="24"/>
          <w:szCs w:val="24"/>
        </w:rPr>
        <w:t>diajukan</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adalah</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sebagai</w:t>
      </w:r>
      <w:proofErr w:type="spellEnd"/>
      <w:r w:rsidR="00DC335C" w:rsidRPr="00B14ED8">
        <w:rPr>
          <w:rFonts w:ascii="Times New Roman" w:eastAsia="Times New Roman" w:hAnsi="Times New Roman" w:cs="Times New Roman"/>
          <w:sz w:val="24"/>
          <w:szCs w:val="24"/>
        </w:rPr>
        <w:t xml:space="preserve"> </w:t>
      </w:r>
      <w:proofErr w:type="spellStart"/>
      <w:r w:rsidR="00DC335C" w:rsidRPr="00B14ED8">
        <w:rPr>
          <w:rFonts w:ascii="Times New Roman" w:eastAsia="Times New Roman" w:hAnsi="Times New Roman" w:cs="Times New Roman"/>
          <w:sz w:val="24"/>
          <w:szCs w:val="24"/>
        </w:rPr>
        <w:t>berikut</w:t>
      </w:r>
      <w:proofErr w:type="spellEnd"/>
      <w:r w:rsidR="00DC335C" w:rsidRPr="00B14ED8">
        <w:rPr>
          <w:rFonts w:ascii="Times New Roman" w:eastAsia="Times New Roman" w:hAnsi="Times New Roman" w:cs="Times New Roman"/>
          <w:sz w:val="24"/>
          <w:szCs w:val="24"/>
        </w:rPr>
        <w:t>:</w:t>
      </w:r>
    </w:p>
    <w:p w14:paraId="6E8231A9" w14:textId="402E24DF" w:rsidR="00DC335C" w:rsidRPr="00B14ED8" w:rsidRDefault="00DC335C" w:rsidP="00B14ED8">
      <w:pPr>
        <w:tabs>
          <w:tab w:val="left" w:pos="567"/>
        </w:tabs>
        <w:spacing w:after="0" w:line="360" w:lineRule="auto"/>
        <w:jc w:val="both"/>
        <w:rPr>
          <w:rFonts w:ascii="Times New Roman" w:eastAsia="Times New Roman" w:hAnsi="Times New Roman" w:cs="Times New Roman"/>
          <w:sz w:val="24"/>
          <w:szCs w:val="24"/>
        </w:rPr>
      </w:pPr>
      <w:r w:rsidRPr="00B14ED8">
        <w:rPr>
          <w:rFonts w:ascii="Times New Roman" w:eastAsia="Times New Roman" w:hAnsi="Times New Roman" w:cs="Times New Roman"/>
          <w:sz w:val="24"/>
          <w:szCs w:val="24"/>
        </w:rPr>
        <w:t xml:space="preserve">H2: </w:t>
      </w:r>
      <w:proofErr w:type="spellStart"/>
      <w:r w:rsidRPr="00B14ED8">
        <w:rPr>
          <w:rFonts w:ascii="Times New Roman" w:eastAsia="Times New Roman" w:hAnsi="Times New Roman" w:cs="Times New Roman"/>
          <w:sz w:val="24"/>
          <w:szCs w:val="24"/>
        </w:rPr>
        <w:t>Pembiayaan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i/>
          <w:iCs/>
          <w:sz w:val="24"/>
          <w:szCs w:val="24"/>
        </w:rPr>
        <w:t>musyarakah</w:t>
      </w:r>
      <w:proofErr w:type="spellEnd"/>
      <w:r w:rsidRPr="00B14ED8">
        <w:rPr>
          <w:rFonts w:ascii="Times New Roman" w:eastAsia="Times New Roman" w:hAnsi="Times New Roman" w:cs="Times New Roman"/>
          <w:i/>
          <w:iCs/>
          <w:sz w:val="24"/>
          <w:szCs w:val="24"/>
        </w:rPr>
        <w:t xml:space="preserve"> </w:t>
      </w:r>
      <w:proofErr w:type="spellStart"/>
      <w:r w:rsidR="006E3245" w:rsidRPr="00B14ED8">
        <w:rPr>
          <w:rFonts w:ascii="Times New Roman" w:eastAsia="Times New Roman" w:hAnsi="Times New Roman" w:cs="Times New Roman"/>
          <w:sz w:val="24"/>
          <w:szCs w:val="24"/>
        </w:rPr>
        <w:t>berpengaruh</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terhadap</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kinerja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keuangan</w:t>
      </w:r>
      <w:proofErr w:type="spellEnd"/>
    </w:p>
    <w:p w14:paraId="45A46662" w14:textId="787664B3" w:rsidR="00114BFF" w:rsidRPr="00B14ED8" w:rsidRDefault="00114BFF" w:rsidP="00B14ED8">
      <w:pPr>
        <w:tabs>
          <w:tab w:val="left" w:pos="567"/>
        </w:tabs>
        <w:spacing w:after="0" w:line="360" w:lineRule="auto"/>
        <w:jc w:val="both"/>
        <w:rPr>
          <w:rFonts w:ascii="Times New Roman" w:eastAsia="Times New Roman" w:hAnsi="Times New Roman" w:cs="Times New Roman"/>
          <w:b/>
          <w:bCs/>
          <w:sz w:val="24"/>
          <w:szCs w:val="24"/>
        </w:rPr>
      </w:pPr>
      <w:proofErr w:type="spellStart"/>
      <w:r w:rsidRPr="00B14ED8">
        <w:rPr>
          <w:rFonts w:ascii="Times New Roman" w:eastAsia="Times New Roman" w:hAnsi="Times New Roman" w:cs="Times New Roman"/>
          <w:b/>
          <w:bCs/>
          <w:sz w:val="24"/>
          <w:szCs w:val="24"/>
        </w:rPr>
        <w:t>Hubungan</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Pembiayaan</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i/>
          <w:iCs/>
          <w:sz w:val="24"/>
          <w:szCs w:val="24"/>
        </w:rPr>
        <w:t>Mudharabah</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terhadap</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Kinerja</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Keuangan</w:t>
      </w:r>
      <w:proofErr w:type="spellEnd"/>
      <w:r w:rsidR="008111D5" w:rsidRPr="00B14ED8">
        <w:rPr>
          <w:rFonts w:ascii="Times New Roman" w:eastAsia="Times New Roman" w:hAnsi="Times New Roman" w:cs="Times New Roman"/>
          <w:b/>
          <w:bCs/>
          <w:sz w:val="24"/>
          <w:szCs w:val="24"/>
        </w:rPr>
        <w:t xml:space="preserve"> </w:t>
      </w:r>
      <w:proofErr w:type="spellStart"/>
      <w:r w:rsidR="008111D5" w:rsidRPr="00B14ED8">
        <w:rPr>
          <w:rFonts w:ascii="Times New Roman" w:eastAsia="Times New Roman" w:hAnsi="Times New Roman" w:cs="Times New Roman"/>
          <w:b/>
          <w:bCs/>
          <w:sz w:val="24"/>
          <w:szCs w:val="24"/>
        </w:rPr>
        <w:t>dengan</w:t>
      </w:r>
      <w:proofErr w:type="spellEnd"/>
      <w:r w:rsidR="008111D5" w:rsidRPr="00B14ED8">
        <w:rPr>
          <w:rFonts w:ascii="Times New Roman" w:eastAsia="Times New Roman" w:hAnsi="Times New Roman" w:cs="Times New Roman"/>
          <w:b/>
          <w:bCs/>
          <w:sz w:val="24"/>
          <w:szCs w:val="24"/>
        </w:rPr>
        <w:t xml:space="preserve"> </w:t>
      </w:r>
      <w:proofErr w:type="spellStart"/>
      <w:r w:rsidR="008111D5" w:rsidRPr="00B14ED8">
        <w:rPr>
          <w:rFonts w:ascii="Times New Roman" w:eastAsia="Times New Roman" w:hAnsi="Times New Roman" w:cs="Times New Roman"/>
          <w:b/>
          <w:bCs/>
          <w:sz w:val="24"/>
          <w:szCs w:val="24"/>
        </w:rPr>
        <w:t>Moderasi</w:t>
      </w:r>
      <w:proofErr w:type="spellEnd"/>
      <w:r w:rsidR="008111D5" w:rsidRPr="00B14ED8">
        <w:rPr>
          <w:rFonts w:ascii="Times New Roman" w:eastAsia="Times New Roman" w:hAnsi="Times New Roman" w:cs="Times New Roman"/>
          <w:b/>
          <w:bCs/>
          <w:sz w:val="24"/>
          <w:szCs w:val="24"/>
        </w:rPr>
        <w:t xml:space="preserve"> </w:t>
      </w:r>
      <w:proofErr w:type="spellStart"/>
      <w:r w:rsidR="008111D5" w:rsidRPr="00B14ED8">
        <w:rPr>
          <w:rFonts w:ascii="Times New Roman" w:eastAsia="Times New Roman" w:hAnsi="Times New Roman" w:cs="Times New Roman"/>
          <w:b/>
          <w:bCs/>
          <w:sz w:val="24"/>
          <w:szCs w:val="24"/>
        </w:rPr>
        <w:t>Manajemen</w:t>
      </w:r>
      <w:proofErr w:type="spellEnd"/>
      <w:r w:rsidR="008111D5" w:rsidRPr="00B14ED8">
        <w:rPr>
          <w:rFonts w:ascii="Times New Roman" w:eastAsia="Times New Roman" w:hAnsi="Times New Roman" w:cs="Times New Roman"/>
          <w:b/>
          <w:bCs/>
          <w:sz w:val="24"/>
          <w:szCs w:val="24"/>
        </w:rPr>
        <w:t xml:space="preserve"> </w:t>
      </w:r>
      <w:proofErr w:type="spellStart"/>
      <w:r w:rsidR="008111D5" w:rsidRPr="00B14ED8">
        <w:rPr>
          <w:rFonts w:ascii="Times New Roman" w:eastAsia="Times New Roman" w:hAnsi="Times New Roman" w:cs="Times New Roman"/>
          <w:b/>
          <w:bCs/>
          <w:sz w:val="24"/>
          <w:szCs w:val="24"/>
        </w:rPr>
        <w:t>Risiko</w:t>
      </w:r>
      <w:proofErr w:type="spellEnd"/>
    </w:p>
    <w:p w14:paraId="74684494" w14:textId="1547F96B" w:rsidR="00167A00" w:rsidRPr="00B14ED8" w:rsidRDefault="00DC335C" w:rsidP="00B14ED8">
      <w:pPr>
        <w:tabs>
          <w:tab w:val="left" w:pos="567"/>
        </w:tabs>
        <w:spacing w:after="0" w:line="360" w:lineRule="auto"/>
        <w:ind w:firstLine="567"/>
        <w:jc w:val="both"/>
        <w:rPr>
          <w:rFonts w:ascii="Times New Roman" w:hAnsi="Times New Roman" w:cs="Times New Roman"/>
          <w:sz w:val="24"/>
          <w:szCs w:val="24"/>
        </w:rPr>
      </w:pPr>
      <w:proofErr w:type="spellStart"/>
      <w:r w:rsidRPr="00B14ED8">
        <w:rPr>
          <w:rFonts w:ascii="Times New Roman" w:eastAsia="Times New Roman" w:hAnsi="Times New Roman" w:cs="Times New Roman"/>
          <w:sz w:val="24"/>
          <w:szCs w:val="24"/>
        </w:rPr>
        <w:t>Penelitian</w:t>
      </w:r>
      <w:proofErr w:type="spellEnd"/>
      <w:r w:rsidRPr="00B14ED8">
        <w:rPr>
          <w:rFonts w:ascii="Times New Roman" w:eastAsia="Times New Roman" w:hAnsi="Times New Roman" w:cs="Times New Roman"/>
          <w:sz w:val="24"/>
          <w:szCs w:val="24"/>
        </w:rPr>
        <w:t xml:space="preserve"> </w:t>
      </w:r>
      <w:r w:rsidRPr="00B14ED8">
        <w:rPr>
          <w:rFonts w:ascii="Times New Roman" w:eastAsia="Times New Roman" w:hAnsi="Times New Roman" w:cs="Times New Roman"/>
          <w:sz w:val="24"/>
          <w:szCs w:val="24"/>
        </w:rPr>
        <w:fldChar w:fldCharType="begin" w:fldLock="1"/>
      </w:r>
      <w:r w:rsidR="0093497D" w:rsidRPr="00B14ED8">
        <w:rPr>
          <w:rFonts w:ascii="Times New Roman" w:eastAsia="Times New Roman" w:hAnsi="Times New Roman" w:cs="Times New Roman"/>
          <w:sz w:val="24"/>
          <w:szCs w:val="24"/>
        </w:rPr>
        <w:instrText>ADDIN CSL_CITATION {"citationItems":[{"id":"ITEM-1","itemData":{"DOI":"10.1108/PRR-07-2020-0022","ISSN":"23984007","abstract":"Purpose: This study aims to examine the factors that influence profit–loss sharing (PLS) financing in Indonesian Islamic banks from the perspective of Islamic banks’ employees. Islamic banks have important role in influencing the amount of PLS financing distribution through their screening process. Design/methodology/approach: This study uses questionnaires in collecting data that are distributed to the employees who process or handle PLS financing in Islamic banks in Yogyakarta, Indonesia. The independent variables are risk, financing screening process, analysis of financial statement and competency of the employees of Islamic banks. The data are processed using multiple regression. Findings: This study finds that risk, the quality of financing screening process and the analysis of financial statement have positive influence on the PLS financing, whereas competency of employees of Islamic banks does not influence PLS financing. Practical implications: The results of this study are expected to give contribution to increase the role of Islamic banks in encouraging PLS financing. The adequate screening, controlling and monitoring system in Islamic banks should be strengthened to encourage the quality of financing distributed. Originality/value: Primary data are used in this study to know the perspective of Islamic bank employees in the financing division on the PLS financing. This study attempts to identify the perspective of employees who have direct relationship with the decision of financing in Islamic banks.","author":[{"dropping-particle":"","family":"Nugraheni","given":"Peni","non-dropping-particle":"","parse-names":false,"suffix":""},{"dropping-particle":"","family":"Alimin","given":"Istiqomah Nur","non-dropping-particle":"","parse-names":false,"suffix":""}],"container-title":"PSU Research Review","id":"ITEM-1","issue":"2","issued":{"date-parts":[["2022"]]},"page":"77-89","title":"Factors influencing PLS financing: the perspective of Indonesian Islamic banks employees","type":"article-journal","volume":"6"},"uris":["http://www.mendeley.com/documents/?uuid=1cc01dfe-b902-47ef-b515-5d1014b1184b"]}],"mendeley":{"formattedCitation":"(Nugraheni &amp; Alimin, 2022)","manualFormatting":"Nugraheni &amp; Alimin (2022)","plainTextFormattedCitation":"(Nugraheni &amp; Alimin, 2022)","previouslyFormattedCitation":"(Nugraheni &amp; Alimin, 2022)"},"properties":{"noteIndex":0},"schema":"https://github.com/citation-style-language/schema/raw/master/csl-citation.json"}</w:instrText>
      </w:r>
      <w:r w:rsidRPr="00B14ED8">
        <w:rPr>
          <w:rFonts w:ascii="Times New Roman" w:eastAsia="Times New Roman" w:hAnsi="Times New Roman" w:cs="Times New Roman"/>
          <w:sz w:val="24"/>
          <w:szCs w:val="24"/>
        </w:rPr>
        <w:fldChar w:fldCharType="separate"/>
      </w:r>
      <w:r w:rsidRPr="00B14ED8">
        <w:rPr>
          <w:rFonts w:ascii="Times New Roman" w:eastAsia="Times New Roman" w:hAnsi="Times New Roman" w:cs="Times New Roman"/>
          <w:noProof/>
          <w:sz w:val="24"/>
          <w:szCs w:val="24"/>
        </w:rPr>
        <w:t>Nugraheni &amp; Alimin (2022)</w:t>
      </w:r>
      <w:r w:rsidRPr="00B14ED8">
        <w:rPr>
          <w:rFonts w:ascii="Times New Roman" w:eastAsia="Times New Roman" w:hAnsi="Times New Roman" w:cs="Times New Roman"/>
          <w:sz w:val="24"/>
          <w:szCs w:val="24"/>
        </w:rPr>
        <w:fldChar w:fldCharType="end"/>
      </w:r>
      <w:r w:rsidR="008F120E"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menghasilkan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kesimpulan</w:t>
      </w:r>
      <w:proofErr w:type="spellEnd"/>
      <w:r w:rsidRPr="00B14ED8">
        <w:rPr>
          <w:rFonts w:ascii="Times New Roman" w:eastAsia="Times New Roman" w:hAnsi="Times New Roman" w:cs="Times New Roman"/>
          <w:sz w:val="24"/>
          <w:szCs w:val="24"/>
        </w:rPr>
        <w:t xml:space="preserve"> </w:t>
      </w:r>
      <w:proofErr w:type="spellStart"/>
      <w:r w:rsidR="00726FB8" w:rsidRPr="00B14ED8">
        <w:rPr>
          <w:rFonts w:ascii="Times New Roman" w:eastAsia="Times New Roman" w:hAnsi="Times New Roman" w:cs="Times New Roman"/>
          <w:sz w:val="24"/>
          <w:szCs w:val="24"/>
        </w:rPr>
        <w:t>bahwa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penerapan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manajemen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risiko</w:t>
      </w:r>
      <w:proofErr w:type="spellEnd"/>
      <w:r w:rsidRPr="00B14ED8">
        <w:rPr>
          <w:rFonts w:ascii="Times New Roman" w:eastAsia="Times New Roman" w:hAnsi="Times New Roman" w:cs="Times New Roman"/>
          <w:sz w:val="24"/>
          <w:szCs w:val="24"/>
        </w:rPr>
        <w:t xml:space="preserve"> </w:t>
      </w:r>
      <w:proofErr w:type="spellStart"/>
      <w:r w:rsidR="00576762" w:rsidRPr="00B14ED8">
        <w:rPr>
          <w:rFonts w:ascii="Times New Roman" w:eastAsia="Times New Roman" w:hAnsi="Times New Roman" w:cs="Times New Roman"/>
          <w:sz w:val="24"/>
          <w:szCs w:val="24"/>
        </w:rPr>
        <w:t>mampu</w:t>
      </w:r>
      <w:proofErr w:type="spellEnd"/>
      <w:r w:rsidR="00576762" w:rsidRPr="00B14ED8">
        <w:rPr>
          <w:rFonts w:ascii="Times New Roman" w:eastAsia="Times New Roman" w:hAnsi="Times New Roman" w:cs="Times New Roman"/>
          <w:sz w:val="24"/>
          <w:szCs w:val="24"/>
        </w:rPr>
        <w:t xml:space="preserve"> </w:t>
      </w:r>
      <w:proofErr w:type="spellStart"/>
      <w:r w:rsidR="00A1515D" w:rsidRPr="00B14ED8">
        <w:rPr>
          <w:rFonts w:ascii="Times New Roman" w:eastAsia="Times New Roman" w:hAnsi="Times New Roman" w:cs="Times New Roman"/>
          <w:sz w:val="24"/>
          <w:szCs w:val="24"/>
        </w:rPr>
        <w:t>menurunkan</w:t>
      </w:r>
      <w:proofErr w:type="spellEnd"/>
      <w:r w:rsidR="00A1515D" w:rsidRPr="00B14ED8">
        <w:rPr>
          <w:rFonts w:ascii="Times New Roman" w:eastAsia="Times New Roman" w:hAnsi="Times New Roman" w:cs="Times New Roman"/>
          <w:sz w:val="24"/>
          <w:szCs w:val="24"/>
        </w:rPr>
        <w:t xml:space="preserve"> </w:t>
      </w:r>
      <w:proofErr w:type="spellStart"/>
      <w:r w:rsidR="00A1515D" w:rsidRPr="00B14ED8">
        <w:rPr>
          <w:rFonts w:ascii="Times New Roman" w:eastAsia="Times New Roman" w:hAnsi="Times New Roman" w:cs="Times New Roman"/>
          <w:sz w:val="24"/>
          <w:szCs w:val="24"/>
        </w:rPr>
        <w:t>potensi</w:t>
      </w:r>
      <w:proofErr w:type="spellEnd"/>
      <w:r w:rsidR="00A1515D" w:rsidRPr="00B14ED8">
        <w:rPr>
          <w:rFonts w:ascii="Times New Roman" w:eastAsia="Times New Roman" w:hAnsi="Times New Roman" w:cs="Times New Roman"/>
          <w:sz w:val="24"/>
          <w:szCs w:val="24"/>
        </w:rPr>
        <w:t xml:space="preserve"> </w:t>
      </w:r>
      <w:proofErr w:type="spellStart"/>
      <w:r w:rsidR="00A1515D" w:rsidRPr="00B14ED8">
        <w:rPr>
          <w:rFonts w:ascii="Times New Roman" w:eastAsia="Times New Roman" w:hAnsi="Times New Roman" w:cs="Times New Roman"/>
          <w:sz w:val="24"/>
          <w:szCs w:val="24"/>
        </w:rPr>
        <w:t>risiko</w:t>
      </w:r>
      <w:proofErr w:type="spellEnd"/>
      <w:r w:rsidR="00A1515D" w:rsidRPr="00B14ED8">
        <w:rPr>
          <w:rFonts w:ascii="Times New Roman" w:eastAsia="Times New Roman" w:hAnsi="Times New Roman" w:cs="Times New Roman"/>
          <w:sz w:val="24"/>
          <w:szCs w:val="24"/>
        </w:rPr>
        <w:t xml:space="preserve"> yang </w:t>
      </w:r>
      <w:proofErr w:type="spellStart"/>
      <w:r w:rsidR="00A1515D" w:rsidRPr="00B14ED8">
        <w:rPr>
          <w:rFonts w:ascii="Times New Roman" w:eastAsia="Times New Roman" w:hAnsi="Times New Roman" w:cs="Times New Roman"/>
          <w:sz w:val="24"/>
          <w:szCs w:val="24"/>
        </w:rPr>
        <w:t>terjadi</w:t>
      </w:r>
      <w:proofErr w:type="spellEnd"/>
      <w:r w:rsidR="00A1515D" w:rsidRPr="00B14ED8">
        <w:rPr>
          <w:rFonts w:ascii="Times New Roman" w:eastAsia="Times New Roman" w:hAnsi="Times New Roman" w:cs="Times New Roman"/>
          <w:sz w:val="24"/>
          <w:szCs w:val="24"/>
        </w:rPr>
        <w:t xml:space="preserve"> di </w:t>
      </w:r>
      <w:proofErr w:type="spellStart"/>
      <w:r w:rsidR="00A1515D" w:rsidRPr="00B14ED8">
        <w:rPr>
          <w:rFonts w:ascii="Times New Roman" w:eastAsia="Times New Roman" w:hAnsi="Times New Roman" w:cs="Times New Roman"/>
          <w:sz w:val="24"/>
          <w:szCs w:val="24"/>
        </w:rPr>
        <w:t>dalam</w:t>
      </w:r>
      <w:proofErr w:type="spellEnd"/>
      <w:r w:rsidR="00A1515D" w:rsidRPr="00B14ED8">
        <w:rPr>
          <w:rFonts w:ascii="Times New Roman" w:eastAsia="Times New Roman" w:hAnsi="Times New Roman" w:cs="Times New Roman"/>
          <w:sz w:val="24"/>
          <w:szCs w:val="24"/>
        </w:rPr>
        <w:t xml:space="preserve"> </w:t>
      </w:r>
      <w:proofErr w:type="spellStart"/>
      <w:r w:rsidR="003E5879" w:rsidRPr="00B14ED8">
        <w:rPr>
          <w:rFonts w:ascii="Times New Roman" w:eastAsia="Times New Roman" w:hAnsi="Times New Roman" w:cs="Times New Roman"/>
          <w:sz w:val="24"/>
          <w:szCs w:val="24"/>
        </w:rPr>
        <w:t>sistem</w:t>
      </w:r>
      <w:proofErr w:type="spellEnd"/>
      <w:r w:rsidR="003E5879" w:rsidRPr="00B14ED8">
        <w:rPr>
          <w:rFonts w:ascii="Times New Roman" w:eastAsia="Times New Roman" w:hAnsi="Times New Roman" w:cs="Times New Roman"/>
          <w:sz w:val="24"/>
          <w:szCs w:val="24"/>
        </w:rPr>
        <w:t xml:space="preserve"> </w:t>
      </w:r>
      <w:proofErr w:type="spellStart"/>
      <w:r w:rsidR="00C66F1D" w:rsidRPr="00B14ED8">
        <w:rPr>
          <w:rFonts w:ascii="Times New Roman" w:eastAsia="Times New Roman" w:hAnsi="Times New Roman" w:cs="Times New Roman"/>
          <w:sz w:val="24"/>
          <w:szCs w:val="24"/>
        </w:rPr>
        <w:t>pembiayaan</w:t>
      </w:r>
      <w:proofErr w:type="spellEnd"/>
      <w:r w:rsidR="00C66F1D" w:rsidRPr="00B14ED8">
        <w:rPr>
          <w:rFonts w:ascii="Times New Roman" w:eastAsia="Times New Roman" w:hAnsi="Times New Roman" w:cs="Times New Roman"/>
          <w:sz w:val="24"/>
          <w:szCs w:val="24"/>
        </w:rPr>
        <w:t xml:space="preserve"> </w:t>
      </w:r>
      <w:proofErr w:type="spellStart"/>
      <w:r w:rsidR="00C66F1D" w:rsidRPr="00B14ED8">
        <w:rPr>
          <w:rFonts w:ascii="Times New Roman" w:eastAsia="Times New Roman" w:hAnsi="Times New Roman" w:cs="Times New Roman"/>
          <w:i/>
          <w:iCs/>
          <w:sz w:val="24"/>
          <w:szCs w:val="24"/>
        </w:rPr>
        <w:t>mudharabah</w:t>
      </w:r>
      <w:proofErr w:type="spellEnd"/>
      <w:r w:rsidR="00C66F1D" w:rsidRPr="00B14ED8">
        <w:rPr>
          <w:rFonts w:ascii="Times New Roman" w:eastAsia="Times New Roman" w:hAnsi="Times New Roman" w:cs="Times New Roman"/>
          <w:i/>
          <w:iCs/>
          <w:sz w:val="24"/>
          <w:szCs w:val="24"/>
        </w:rPr>
        <w:t xml:space="preserve"> </w:t>
      </w:r>
      <w:proofErr w:type="spellStart"/>
      <w:r w:rsidR="00C66F1D" w:rsidRPr="00B14ED8">
        <w:rPr>
          <w:rFonts w:ascii="Times New Roman" w:eastAsia="Times New Roman" w:hAnsi="Times New Roman" w:cs="Times New Roman"/>
          <w:sz w:val="24"/>
          <w:szCs w:val="24"/>
        </w:rPr>
        <w:t>sehingga</w:t>
      </w:r>
      <w:proofErr w:type="spellEnd"/>
      <w:r w:rsidR="00C66F1D" w:rsidRPr="00B14ED8">
        <w:rPr>
          <w:rFonts w:ascii="Times New Roman" w:eastAsia="Times New Roman" w:hAnsi="Times New Roman" w:cs="Times New Roman"/>
          <w:sz w:val="24"/>
          <w:szCs w:val="24"/>
        </w:rPr>
        <w:t xml:space="preserve"> </w:t>
      </w:r>
      <w:proofErr w:type="spellStart"/>
      <w:r w:rsidR="00C66F1D" w:rsidRPr="00B14ED8">
        <w:rPr>
          <w:rFonts w:ascii="Times New Roman" w:eastAsia="Times New Roman" w:hAnsi="Times New Roman" w:cs="Times New Roman"/>
          <w:sz w:val="24"/>
          <w:szCs w:val="24"/>
        </w:rPr>
        <w:t>semakin</w:t>
      </w:r>
      <w:proofErr w:type="spellEnd"/>
      <w:r w:rsidR="00C66F1D" w:rsidRPr="00B14ED8">
        <w:rPr>
          <w:rFonts w:ascii="Times New Roman" w:eastAsia="Times New Roman" w:hAnsi="Times New Roman" w:cs="Times New Roman"/>
          <w:sz w:val="24"/>
          <w:szCs w:val="24"/>
        </w:rPr>
        <w:t xml:space="preserve"> </w:t>
      </w:r>
      <w:proofErr w:type="spellStart"/>
      <w:r w:rsidR="00C66F1D" w:rsidRPr="00B14ED8">
        <w:rPr>
          <w:rFonts w:ascii="Times New Roman" w:eastAsia="Times New Roman" w:hAnsi="Times New Roman" w:cs="Times New Roman"/>
          <w:sz w:val="24"/>
          <w:szCs w:val="24"/>
        </w:rPr>
        <w:t>meningkatkan</w:t>
      </w:r>
      <w:proofErr w:type="spellEnd"/>
      <w:r w:rsidR="00C66F1D" w:rsidRPr="00B14ED8">
        <w:rPr>
          <w:rFonts w:ascii="Times New Roman" w:eastAsia="Times New Roman" w:hAnsi="Times New Roman" w:cs="Times New Roman"/>
          <w:sz w:val="24"/>
          <w:szCs w:val="24"/>
        </w:rPr>
        <w:t xml:space="preserve"> </w:t>
      </w:r>
      <w:proofErr w:type="spellStart"/>
      <w:r w:rsidR="00C66F1D" w:rsidRPr="00B14ED8">
        <w:rPr>
          <w:rFonts w:ascii="Times New Roman" w:eastAsia="Times New Roman" w:hAnsi="Times New Roman" w:cs="Times New Roman"/>
          <w:sz w:val="24"/>
          <w:szCs w:val="24"/>
        </w:rPr>
        <w:t>nilai</w:t>
      </w:r>
      <w:proofErr w:type="spellEnd"/>
      <w:r w:rsidR="00C66F1D" w:rsidRPr="00B14ED8">
        <w:rPr>
          <w:rFonts w:ascii="Times New Roman" w:eastAsia="Times New Roman" w:hAnsi="Times New Roman" w:cs="Times New Roman"/>
          <w:sz w:val="24"/>
          <w:szCs w:val="24"/>
        </w:rPr>
        <w:t xml:space="preserve"> </w:t>
      </w:r>
      <w:proofErr w:type="spellStart"/>
      <w:r w:rsidR="00C66F1D" w:rsidRPr="00B14ED8">
        <w:rPr>
          <w:rFonts w:ascii="Times New Roman" w:eastAsia="Times New Roman" w:hAnsi="Times New Roman" w:cs="Times New Roman"/>
          <w:sz w:val="24"/>
          <w:szCs w:val="24"/>
        </w:rPr>
        <w:t>kinerja</w:t>
      </w:r>
      <w:proofErr w:type="spellEnd"/>
      <w:r w:rsidR="00C66F1D" w:rsidRPr="00B14ED8">
        <w:rPr>
          <w:rFonts w:ascii="Times New Roman" w:eastAsia="Times New Roman" w:hAnsi="Times New Roman" w:cs="Times New Roman"/>
          <w:sz w:val="24"/>
          <w:szCs w:val="24"/>
        </w:rPr>
        <w:t xml:space="preserve"> </w:t>
      </w:r>
      <w:proofErr w:type="spellStart"/>
      <w:r w:rsidR="00C66F1D" w:rsidRPr="00B14ED8">
        <w:rPr>
          <w:rFonts w:ascii="Times New Roman" w:eastAsia="Times New Roman" w:hAnsi="Times New Roman" w:cs="Times New Roman"/>
          <w:sz w:val="24"/>
          <w:szCs w:val="24"/>
        </w:rPr>
        <w:t>keuangan</w:t>
      </w:r>
      <w:proofErr w:type="spellEnd"/>
      <w:r w:rsidR="00C66F1D" w:rsidRPr="00B14ED8">
        <w:rPr>
          <w:rFonts w:ascii="Times New Roman" w:eastAsia="Times New Roman" w:hAnsi="Times New Roman" w:cs="Times New Roman"/>
          <w:sz w:val="24"/>
          <w:szCs w:val="24"/>
        </w:rPr>
        <w:t xml:space="preserve"> yang </w:t>
      </w:r>
      <w:proofErr w:type="spellStart"/>
      <w:r w:rsidR="00C66F1D" w:rsidRPr="00B14ED8">
        <w:rPr>
          <w:rFonts w:ascii="Times New Roman" w:eastAsia="Times New Roman" w:hAnsi="Times New Roman" w:cs="Times New Roman"/>
          <w:sz w:val="24"/>
          <w:szCs w:val="24"/>
        </w:rPr>
        <w:t>dihasilkan</w:t>
      </w:r>
      <w:proofErr w:type="spellEnd"/>
      <w:r w:rsidR="006D3BA7" w:rsidRPr="00B14ED8">
        <w:rPr>
          <w:rFonts w:ascii="Times New Roman" w:eastAsia="Times New Roman" w:hAnsi="Times New Roman" w:cs="Times New Roman"/>
          <w:sz w:val="24"/>
          <w:szCs w:val="24"/>
        </w:rPr>
        <w:t xml:space="preserve">. </w:t>
      </w:r>
      <w:proofErr w:type="spellStart"/>
      <w:r w:rsidR="00EC6BEE" w:rsidRPr="00B14ED8">
        <w:rPr>
          <w:rFonts w:ascii="Times New Roman" w:eastAsia="Times New Roman" w:hAnsi="Times New Roman" w:cs="Times New Roman"/>
          <w:sz w:val="24"/>
          <w:szCs w:val="24"/>
        </w:rPr>
        <w:t>Dengan</w:t>
      </w:r>
      <w:proofErr w:type="spellEnd"/>
      <w:r w:rsidR="00EC6BEE" w:rsidRPr="00B14ED8">
        <w:rPr>
          <w:rFonts w:ascii="Times New Roman" w:eastAsia="Times New Roman" w:hAnsi="Times New Roman" w:cs="Times New Roman"/>
          <w:sz w:val="24"/>
          <w:szCs w:val="24"/>
        </w:rPr>
        <w:t xml:space="preserve"> </w:t>
      </w:r>
      <w:proofErr w:type="spellStart"/>
      <w:r w:rsidR="00EC6BEE" w:rsidRPr="00B14ED8">
        <w:rPr>
          <w:rFonts w:ascii="Times New Roman" w:eastAsia="Times New Roman" w:hAnsi="Times New Roman" w:cs="Times New Roman"/>
          <w:sz w:val="24"/>
          <w:szCs w:val="24"/>
        </w:rPr>
        <w:lastRenderedPageBreak/>
        <w:t>adanya</w:t>
      </w:r>
      <w:proofErr w:type="spellEnd"/>
      <w:r w:rsidR="00EC6BEE" w:rsidRPr="00B14ED8">
        <w:rPr>
          <w:rFonts w:ascii="Times New Roman" w:eastAsia="Times New Roman" w:hAnsi="Times New Roman" w:cs="Times New Roman"/>
          <w:sz w:val="24"/>
          <w:szCs w:val="24"/>
        </w:rPr>
        <w:t xml:space="preserve"> </w:t>
      </w:r>
      <w:proofErr w:type="spellStart"/>
      <w:r w:rsidR="00EC6BEE" w:rsidRPr="00B14ED8">
        <w:rPr>
          <w:rFonts w:ascii="Times New Roman" w:eastAsia="Times New Roman" w:hAnsi="Times New Roman" w:cs="Times New Roman"/>
          <w:sz w:val="24"/>
          <w:szCs w:val="24"/>
        </w:rPr>
        <w:t>manajemen</w:t>
      </w:r>
      <w:proofErr w:type="spellEnd"/>
      <w:r w:rsidR="00EC6BEE" w:rsidRPr="00B14ED8">
        <w:rPr>
          <w:rFonts w:ascii="Times New Roman" w:eastAsia="Times New Roman" w:hAnsi="Times New Roman" w:cs="Times New Roman"/>
          <w:sz w:val="24"/>
          <w:szCs w:val="24"/>
        </w:rPr>
        <w:t xml:space="preserve"> </w:t>
      </w:r>
      <w:proofErr w:type="spellStart"/>
      <w:r w:rsidR="00EC6BEE" w:rsidRPr="00B14ED8">
        <w:rPr>
          <w:rFonts w:ascii="Times New Roman" w:eastAsia="Times New Roman" w:hAnsi="Times New Roman" w:cs="Times New Roman"/>
          <w:sz w:val="24"/>
          <w:szCs w:val="24"/>
        </w:rPr>
        <w:t>risiko</w:t>
      </w:r>
      <w:proofErr w:type="spellEnd"/>
      <w:r w:rsidR="00EC6BEE" w:rsidRPr="00B14ED8">
        <w:rPr>
          <w:rFonts w:ascii="Times New Roman" w:eastAsia="Times New Roman" w:hAnsi="Times New Roman" w:cs="Times New Roman"/>
          <w:sz w:val="24"/>
          <w:szCs w:val="24"/>
        </w:rPr>
        <w:t xml:space="preserve"> yang </w:t>
      </w:r>
      <w:proofErr w:type="spellStart"/>
      <w:r w:rsidR="00EC6BEE" w:rsidRPr="00B14ED8">
        <w:rPr>
          <w:rFonts w:ascii="Times New Roman" w:eastAsia="Times New Roman" w:hAnsi="Times New Roman" w:cs="Times New Roman"/>
          <w:sz w:val="24"/>
          <w:szCs w:val="24"/>
        </w:rPr>
        <w:t>diterapkan</w:t>
      </w:r>
      <w:proofErr w:type="spellEnd"/>
      <w:r w:rsidR="00EC6BEE" w:rsidRPr="00B14ED8">
        <w:rPr>
          <w:rFonts w:ascii="Times New Roman" w:eastAsia="Times New Roman" w:hAnsi="Times New Roman" w:cs="Times New Roman"/>
          <w:sz w:val="24"/>
          <w:szCs w:val="24"/>
        </w:rPr>
        <w:t xml:space="preserve"> di </w:t>
      </w:r>
      <w:proofErr w:type="spellStart"/>
      <w:r w:rsidR="00EC6BEE" w:rsidRPr="00B14ED8">
        <w:rPr>
          <w:rFonts w:ascii="Times New Roman" w:eastAsia="Times New Roman" w:hAnsi="Times New Roman" w:cs="Times New Roman"/>
          <w:sz w:val="24"/>
          <w:szCs w:val="24"/>
        </w:rPr>
        <w:t>dalam</w:t>
      </w:r>
      <w:proofErr w:type="spellEnd"/>
      <w:r w:rsidR="00EC6BEE" w:rsidRPr="00B14ED8">
        <w:rPr>
          <w:rFonts w:ascii="Times New Roman" w:eastAsia="Times New Roman" w:hAnsi="Times New Roman" w:cs="Times New Roman"/>
          <w:sz w:val="24"/>
          <w:szCs w:val="24"/>
        </w:rPr>
        <w:t xml:space="preserve"> </w:t>
      </w:r>
      <w:proofErr w:type="spellStart"/>
      <w:r w:rsidR="00EC6BEE" w:rsidRPr="00B14ED8">
        <w:rPr>
          <w:rFonts w:ascii="Times New Roman" w:eastAsia="Times New Roman" w:hAnsi="Times New Roman" w:cs="Times New Roman"/>
          <w:sz w:val="24"/>
          <w:szCs w:val="24"/>
        </w:rPr>
        <w:t>sektor</w:t>
      </w:r>
      <w:proofErr w:type="spellEnd"/>
      <w:r w:rsidR="00EC6BEE" w:rsidRPr="00B14ED8">
        <w:rPr>
          <w:rFonts w:ascii="Times New Roman" w:eastAsia="Times New Roman" w:hAnsi="Times New Roman" w:cs="Times New Roman"/>
          <w:sz w:val="24"/>
          <w:szCs w:val="24"/>
        </w:rPr>
        <w:t xml:space="preserve"> </w:t>
      </w:r>
      <w:proofErr w:type="spellStart"/>
      <w:r w:rsidR="00EC6BEE" w:rsidRPr="00B14ED8">
        <w:rPr>
          <w:rFonts w:ascii="Times New Roman" w:eastAsia="Times New Roman" w:hAnsi="Times New Roman" w:cs="Times New Roman"/>
          <w:sz w:val="24"/>
          <w:szCs w:val="24"/>
        </w:rPr>
        <w:t>pembiayaan</w:t>
      </w:r>
      <w:proofErr w:type="spellEnd"/>
      <w:r w:rsidR="00EC6BEE" w:rsidRPr="00B14ED8">
        <w:rPr>
          <w:rFonts w:ascii="Times New Roman" w:eastAsia="Times New Roman" w:hAnsi="Times New Roman" w:cs="Times New Roman"/>
          <w:sz w:val="24"/>
          <w:szCs w:val="24"/>
        </w:rPr>
        <w:t xml:space="preserve"> </w:t>
      </w:r>
      <w:proofErr w:type="spellStart"/>
      <w:r w:rsidR="00EC6BEE" w:rsidRPr="00B14ED8">
        <w:rPr>
          <w:rFonts w:ascii="Times New Roman" w:eastAsia="Times New Roman" w:hAnsi="Times New Roman" w:cs="Times New Roman"/>
          <w:i/>
          <w:iCs/>
          <w:sz w:val="24"/>
          <w:szCs w:val="24"/>
        </w:rPr>
        <w:t>mudharabah</w:t>
      </w:r>
      <w:proofErr w:type="spellEnd"/>
      <w:r w:rsidR="00EC6BEE" w:rsidRPr="00B14ED8">
        <w:rPr>
          <w:rFonts w:ascii="Times New Roman" w:eastAsia="Times New Roman" w:hAnsi="Times New Roman" w:cs="Times New Roman"/>
          <w:i/>
          <w:iCs/>
          <w:sz w:val="24"/>
          <w:szCs w:val="24"/>
        </w:rPr>
        <w:t xml:space="preserve"> </w:t>
      </w:r>
      <w:proofErr w:type="spellStart"/>
      <w:r w:rsidR="00EC6BEE" w:rsidRPr="00B14ED8">
        <w:rPr>
          <w:rFonts w:ascii="Times New Roman" w:eastAsia="Times New Roman" w:hAnsi="Times New Roman" w:cs="Times New Roman"/>
          <w:sz w:val="24"/>
          <w:szCs w:val="24"/>
        </w:rPr>
        <w:t>maka</w:t>
      </w:r>
      <w:proofErr w:type="spellEnd"/>
      <w:r w:rsidR="00EC6BEE" w:rsidRPr="00B14ED8">
        <w:rPr>
          <w:rFonts w:ascii="Times New Roman" w:eastAsia="Times New Roman" w:hAnsi="Times New Roman" w:cs="Times New Roman"/>
          <w:sz w:val="24"/>
          <w:szCs w:val="24"/>
        </w:rPr>
        <w:t xml:space="preserve"> </w:t>
      </w:r>
      <w:proofErr w:type="spellStart"/>
      <w:r w:rsidR="00EC6BEE" w:rsidRPr="00B14ED8">
        <w:rPr>
          <w:rFonts w:ascii="Times New Roman" w:eastAsia="Times New Roman" w:hAnsi="Times New Roman" w:cs="Times New Roman"/>
          <w:sz w:val="24"/>
          <w:szCs w:val="24"/>
        </w:rPr>
        <w:t>akan</w:t>
      </w:r>
      <w:proofErr w:type="spellEnd"/>
      <w:r w:rsidR="00EC6BEE" w:rsidRPr="00B14ED8">
        <w:rPr>
          <w:rFonts w:ascii="Times New Roman" w:eastAsia="Times New Roman" w:hAnsi="Times New Roman" w:cs="Times New Roman"/>
          <w:sz w:val="24"/>
          <w:szCs w:val="24"/>
        </w:rPr>
        <w:t xml:space="preserve"> </w:t>
      </w:r>
      <w:proofErr w:type="spellStart"/>
      <w:r w:rsidR="00EC6BEE" w:rsidRPr="00B14ED8">
        <w:rPr>
          <w:rFonts w:ascii="Times New Roman" w:eastAsia="Times New Roman" w:hAnsi="Times New Roman" w:cs="Times New Roman"/>
          <w:sz w:val="24"/>
          <w:szCs w:val="24"/>
        </w:rPr>
        <w:t>mendorong</w:t>
      </w:r>
      <w:proofErr w:type="spellEnd"/>
      <w:r w:rsidR="00EC6BEE" w:rsidRPr="00B14ED8">
        <w:rPr>
          <w:rFonts w:ascii="Times New Roman" w:eastAsia="Times New Roman" w:hAnsi="Times New Roman" w:cs="Times New Roman"/>
          <w:sz w:val="24"/>
          <w:szCs w:val="24"/>
        </w:rPr>
        <w:t xml:space="preserve"> </w:t>
      </w:r>
      <w:proofErr w:type="spellStart"/>
      <w:r w:rsidR="00462B40" w:rsidRPr="00B14ED8">
        <w:rPr>
          <w:rFonts w:ascii="Times New Roman" w:eastAsia="Times New Roman" w:hAnsi="Times New Roman" w:cs="Times New Roman"/>
          <w:sz w:val="24"/>
          <w:szCs w:val="24"/>
        </w:rPr>
        <w:t>pengelolaan</w:t>
      </w:r>
      <w:proofErr w:type="spellEnd"/>
      <w:r w:rsidR="00462B40" w:rsidRPr="00B14ED8">
        <w:rPr>
          <w:rFonts w:ascii="Times New Roman" w:hAnsi="Times New Roman" w:cs="Times New Roman"/>
          <w:sz w:val="24"/>
          <w:szCs w:val="24"/>
        </w:rPr>
        <w:t xml:space="preserve"> </w:t>
      </w:r>
      <w:proofErr w:type="spellStart"/>
      <w:r w:rsidR="00462B40" w:rsidRPr="00B14ED8">
        <w:rPr>
          <w:rFonts w:ascii="Times New Roman" w:hAnsi="Times New Roman" w:cs="Times New Roman"/>
          <w:sz w:val="24"/>
          <w:szCs w:val="24"/>
        </w:rPr>
        <w:t>pembiayaan</w:t>
      </w:r>
      <w:proofErr w:type="spellEnd"/>
      <w:r w:rsidR="00462B40" w:rsidRPr="00B14ED8">
        <w:rPr>
          <w:rFonts w:ascii="Times New Roman" w:hAnsi="Times New Roman" w:cs="Times New Roman"/>
          <w:sz w:val="24"/>
          <w:szCs w:val="24"/>
        </w:rPr>
        <w:t xml:space="preserve"> </w:t>
      </w:r>
      <w:proofErr w:type="spellStart"/>
      <w:r w:rsidR="00462B40" w:rsidRPr="00B14ED8">
        <w:rPr>
          <w:rFonts w:ascii="Times New Roman" w:hAnsi="Times New Roman" w:cs="Times New Roman"/>
          <w:i/>
          <w:iCs/>
          <w:sz w:val="24"/>
          <w:szCs w:val="24"/>
        </w:rPr>
        <w:t>mudharabah</w:t>
      </w:r>
      <w:proofErr w:type="spellEnd"/>
      <w:r w:rsidR="00462B40" w:rsidRPr="00B14ED8">
        <w:rPr>
          <w:rFonts w:ascii="Times New Roman" w:hAnsi="Times New Roman" w:cs="Times New Roman"/>
          <w:i/>
          <w:iCs/>
          <w:sz w:val="24"/>
          <w:szCs w:val="24"/>
        </w:rPr>
        <w:t xml:space="preserve"> </w:t>
      </w:r>
      <w:proofErr w:type="spellStart"/>
      <w:r w:rsidR="00462B40" w:rsidRPr="00B14ED8">
        <w:rPr>
          <w:rFonts w:ascii="Times New Roman" w:hAnsi="Times New Roman" w:cs="Times New Roman"/>
          <w:sz w:val="24"/>
          <w:szCs w:val="24"/>
        </w:rPr>
        <w:t>semakin</w:t>
      </w:r>
      <w:proofErr w:type="spellEnd"/>
      <w:r w:rsidR="00462B40" w:rsidRPr="00B14ED8">
        <w:rPr>
          <w:rFonts w:ascii="Times New Roman" w:hAnsi="Times New Roman" w:cs="Times New Roman"/>
          <w:sz w:val="24"/>
          <w:szCs w:val="24"/>
        </w:rPr>
        <w:t xml:space="preserve"> </w:t>
      </w:r>
      <w:proofErr w:type="spellStart"/>
      <w:r w:rsidR="00462B40" w:rsidRPr="00B14ED8">
        <w:rPr>
          <w:rFonts w:ascii="Times New Roman" w:hAnsi="Times New Roman" w:cs="Times New Roman"/>
          <w:sz w:val="24"/>
          <w:szCs w:val="24"/>
        </w:rPr>
        <w:t>transparan</w:t>
      </w:r>
      <w:proofErr w:type="spellEnd"/>
      <w:r w:rsidR="00462B40" w:rsidRPr="00B14ED8">
        <w:rPr>
          <w:rFonts w:ascii="Times New Roman" w:hAnsi="Times New Roman" w:cs="Times New Roman"/>
          <w:sz w:val="24"/>
          <w:szCs w:val="24"/>
        </w:rPr>
        <w:t xml:space="preserve"> dan </w:t>
      </w:r>
      <w:proofErr w:type="spellStart"/>
      <w:r w:rsidR="00462B40" w:rsidRPr="00B14ED8">
        <w:rPr>
          <w:rFonts w:ascii="Times New Roman" w:hAnsi="Times New Roman" w:cs="Times New Roman"/>
          <w:sz w:val="24"/>
          <w:szCs w:val="24"/>
        </w:rPr>
        <w:t>tidak</w:t>
      </w:r>
      <w:proofErr w:type="spellEnd"/>
      <w:r w:rsidR="00462B40" w:rsidRPr="00B14ED8">
        <w:rPr>
          <w:rFonts w:ascii="Times New Roman" w:hAnsi="Times New Roman" w:cs="Times New Roman"/>
          <w:sz w:val="24"/>
          <w:szCs w:val="24"/>
        </w:rPr>
        <w:t xml:space="preserve"> </w:t>
      </w:r>
      <w:proofErr w:type="spellStart"/>
      <w:r w:rsidR="00462B40" w:rsidRPr="00B14ED8">
        <w:rPr>
          <w:rFonts w:ascii="Times New Roman" w:hAnsi="Times New Roman" w:cs="Times New Roman"/>
          <w:sz w:val="24"/>
          <w:szCs w:val="24"/>
        </w:rPr>
        <w:t>mengalami</w:t>
      </w:r>
      <w:proofErr w:type="spellEnd"/>
      <w:r w:rsidR="00462B40" w:rsidRPr="00B14ED8">
        <w:rPr>
          <w:rFonts w:ascii="Times New Roman" w:hAnsi="Times New Roman" w:cs="Times New Roman"/>
          <w:sz w:val="24"/>
          <w:szCs w:val="24"/>
        </w:rPr>
        <w:t xml:space="preserve"> </w:t>
      </w:r>
      <w:proofErr w:type="spellStart"/>
      <w:r w:rsidR="00462B40" w:rsidRPr="00B14ED8">
        <w:rPr>
          <w:rFonts w:ascii="Times New Roman" w:hAnsi="Times New Roman" w:cs="Times New Roman"/>
          <w:sz w:val="24"/>
          <w:szCs w:val="24"/>
        </w:rPr>
        <w:t>penyalahgunaan</w:t>
      </w:r>
      <w:proofErr w:type="spellEnd"/>
      <w:r w:rsidR="00462B40" w:rsidRPr="00B14ED8">
        <w:rPr>
          <w:rFonts w:ascii="Times New Roman" w:hAnsi="Times New Roman" w:cs="Times New Roman"/>
          <w:sz w:val="24"/>
          <w:szCs w:val="24"/>
        </w:rPr>
        <w:t xml:space="preserve"> </w:t>
      </w:r>
      <w:proofErr w:type="spellStart"/>
      <w:r w:rsidR="00462B40" w:rsidRPr="00B14ED8">
        <w:rPr>
          <w:rFonts w:ascii="Times New Roman" w:hAnsi="Times New Roman" w:cs="Times New Roman"/>
          <w:sz w:val="24"/>
          <w:szCs w:val="24"/>
        </w:rPr>
        <w:t>dikarenakan</w:t>
      </w:r>
      <w:proofErr w:type="spellEnd"/>
      <w:r w:rsidR="00462B40" w:rsidRPr="00B14ED8">
        <w:rPr>
          <w:rFonts w:ascii="Times New Roman" w:hAnsi="Times New Roman" w:cs="Times New Roman"/>
          <w:sz w:val="24"/>
          <w:szCs w:val="24"/>
        </w:rPr>
        <w:t xml:space="preserve"> </w:t>
      </w:r>
      <w:proofErr w:type="spellStart"/>
      <w:r w:rsidR="00462B40" w:rsidRPr="00B14ED8">
        <w:rPr>
          <w:rFonts w:ascii="Times New Roman" w:hAnsi="Times New Roman" w:cs="Times New Roman"/>
          <w:sz w:val="24"/>
          <w:szCs w:val="24"/>
        </w:rPr>
        <w:t>konflik</w:t>
      </w:r>
      <w:proofErr w:type="spellEnd"/>
      <w:r w:rsidR="00462B40" w:rsidRPr="00B14ED8">
        <w:rPr>
          <w:rFonts w:ascii="Times New Roman" w:hAnsi="Times New Roman" w:cs="Times New Roman"/>
          <w:sz w:val="24"/>
          <w:szCs w:val="24"/>
        </w:rPr>
        <w:t xml:space="preserve"> </w:t>
      </w:r>
      <w:proofErr w:type="spellStart"/>
      <w:r w:rsidR="00462B40" w:rsidRPr="00B14ED8">
        <w:rPr>
          <w:rFonts w:ascii="Times New Roman" w:hAnsi="Times New Roman" w:cs="Times New Roman"/>
          <w:sz w:val="24"/>
          <w:szCs w:val="24"/>
        </w:rPr>
        <w:t>kepentingan</w:t>
      </w:r>
      <w:proofErr w:type="spellEnd"/>
      <w:r w:rsidR="00462B40" w:rsidRPr="00B14ED8">
        <w:rPr>
          <w:rFonts w:ascii="Times New Roman" w:hAnsi="Times New Roman" w:cs="Times New Roman"/>
          <w:sz w:val="24"/>
          <w:szCs w:val="24"/>
        </w:rPr>
        <w:t xml:space="preserve"> </w:t>
      </w:r>
      <w:proofErr w:type="spellStart"/>
      <w:r w:rsidR="00462B40" w:rsidRPr="00B14ED8">
        <w:rPr>
          <w:rFonts w:ascii="Times New Roman" w:hAnsi="Times New Roman" w:cs="Times New Roman"/>
          <w:sz w:val="24"/>
          <w:szCs w:val="24"/>
        </w:rPr>
        <w:t>maupun</w:t>
      </w:r>
      <w:proofErr w:type="spellEnd"/>
      <w:r w:rsidR="00462B40" w:rsidRPr="00B14ED8">
        <w:rPr>
          <w:rFonts w:ascii="Times New Roman" w:hAnsi="Times New Roman" w:cs="Times New Roman"/>
          <w:sz w:val="24"/>
          <w:szCs w:val="24"/>
        </w:rPr>
        <w:t xml:space="preserve"> </w:t>
      </w:r>
      <w:proofErr w:type="spellStart"/>
      <w:r w:rsidR="00462B40" w:rsidRPr="00B14ED8">
        <w:rPr>
          <w:rFonts w:ascii="Times New Roman" w:hAnsi="Times New Roman" w:cs="Times New Roman"/>
          <w:sz w:val="24"/>
          <w:szCs w:val="24"/>
        </w:rPr>
        <w:t>asimetri</w:t>
      </w:r>
      <w:proofErr w:type="spellEnd"/>
      <w:r w:rsidR="00462B40" w:rsidRPr="00B14ED8">
        <w:rPr>
          <w:rFonts w:ascii="Times New Roman" w:hAnsi="Times New Roman" w:cs="Times New Roman"/>
          <w:sz w:val="24"/>
          <w:szCs w:val="24"/>
        </w:rPr>
        <w:t xml:space="preserve"> </w:t>
      </w:r>
      <w:proofErr w:type="spellStart"/>
      <w:r w:rsidR="00462B40" w:rsidRPr="00B14ED8">
        <w:rPr>
          <w:rFonts w:ascii="Times New Roman" w:hAnsi="Times New Roman" w:cs="Times New Roman"/>
          <w:sz w:val="24"/>
          <w:szCs w:val="24"/>
        </w:rPr>
        <w:t>informasi</w:t>
      </w:r>
      <w:proofErr w:type="spellEnd"/>
      <w:r w:rsidR="00462B40" w:rsidRPr="00B14ED8">
        <w:rPr>
          <w:rFonts w:ascii="Times New Roman" w:hAnsi="Times New Roman" w:cs="Times New Roman"/>
          <w:sz w:val="24"/>
          <w:szCs w:val="24"/>
        </w:rPr>
        <w:t xml:space="preserve"> yang </w:t>
      </w:r>
      <w:proofErr w:type="spellStart"/>
      <w:r w:rsidR="00462B40" w:rsidRPr="00B14ED8">
        <w:rPr>
          <w:rFonts w:ascii="Times New Roman" w:hAnsi="Times New Roman" w:cs="Times New Roman"/>
          <w:sz w:val="24"/>
          <w:szCs w:val="24"/>
        </w:rPr>
        <w:t>dapat</w:t>
      </w:r>
      <w:proofErr w:type="spellEnd"/>
      <w:r w:rsidR="00462B40" w:rsidRPr="00B14ED8">
        <w:rPr>
          <w:rFonts w:ascii="Times New Roman" w:hAnsi="Times New Roman" w:cs="Times New Roman"/>
          <w:sz w:val="24"/>
          <w:szCs w:val="24"/>
        </w:rPr>
        <w:t xml:space="preserve"> </w:t>
      </w:r>
      <w:proofErr w:type="spellStart"/>
      <w:r w:rsidR="00462B40" w:rsidRPr="00B14ED8">
        <w:rPr>
          <w:rFonts w:ascii="Times New Roman" w:hAnsi="Times New Roman" w:cs="Times New Roman"/>
          <w:sz w:val="24"/>
          <w:szCs w:val="24"/>
        </w:rPr>
        <w:t>terjadi</w:t>
      </w:r>
      <w:proofErr w:type="spellEnd"/>
      <w:r w:rsidR="00462B40" w:rsidRPr="00B14ED8">
        <w:rPr>
          <w:rFonts w:ascii="Times New Roman" w:hAnsi="Times New Roman" w:cs="Times New Roman"/>
          <w:sz w:val="24"/>
          <w:szCs w:val="24"/>
        </w:rPr>
        <w:t xml:space="preserve">. </w:t>
      </w:r>
      <w:proofErr w:type="spellStart"/>
      <w:r w:rsidR="000A6CFD" w:rsidRPr="00B14ED8">
        <w:rPr>
          <w:rFonts w:ascii="Times New Roman" w:hAnsi="Times New Roman" w:cs="Times New Roman"/>
          <w:sz w:val="24"/>
          <w:szCs w:val="24"/>
        </w:rPr>
        <w:t>T</w:t>
      </w:r>
      <w:r w:rsidR="00E959E1" w:rsidRPr="00B14ED8">
        <w:rPr>
          <w:rFonts w:ascii="Times New Roman" w:hAnsi="Times New Roman" w:cs="Times New Roman"/>
          <w:sz w:val="24"/>
          <w:szCs w:val="24"/>
        </w:rPr>
        <w:t>indakan</w:t>
      </w:r>
      <w:proofErr w:type="spellEnd"/>
      <w:r w:rsidR="00E959E1" w:rsidRPr="00B14ED8">
        <w:rPr>
          <w:rFonts w:ascii="Times New Roman" w:hAnsi="Times New Roman" w:cs="Times New Roman"/>
          <w:sz w:val="24"/>
          <w:szCs w:val="24"/>
        </w:rPr>
        <w:t xml:space="preserve"> </w:t>
      </w:r>
      <w:proofErr w:type="spellStart"/>
      <w:r w:rsidR="00E959E1" w:rsidRPr="00B14ED8">
        <w:rPr>
          <w:rFonts w:ascii="Times New Roman" w:hAnsi="Times New Roman" w:cs="Times New Roman"/>
          <w:sz w:val="24"/>
          <w:szCs w:val="24"/>
        </w:rPr>
        <w:t>manajemen</w:t>
      </w:r>
      <w:proofErr w:type="spellEnd"/>
      <w:r w:rsidR="00E959E1" w:rsidRPr="00B14ED8">
        <w:rPr>
          <w:rFonts w:ascii="Times New Roman" w:hAnsi="Times New Roman" w:cs="Times New Roman"/>
          <w:sz w:val="24"/>
          <w:szCs w:val="24"/>
        </w:rPr>
        <w:t xml:space="preserve"> </w:t>
      </w:r>
      <w:proofErr w:type="spellStart"/>
      <w:r w:rsidR="00E959E1" w:rsidRPr="00B14ED8">
        <w:rPr>
          <w:rFonts w:ascii="Times New Roman" w:hAnsi="Times New Roman" w:cs="Times New Roman"/>
          <w:sz w:val="24"/>
          <w:szCs w:val="24"/>
        </w:rPr>
        <w:t>risiko</w:t>
      </w:r>
      <w:proofErr w:type="spellEnd"/>
      <w:r w:rsidR="00E959E1" w:rsidRPr="00B14ED8">
        <w:rPr>
          <w:rFonts w:ascii="Times New Roman" w:hAnsi="Times New Roman" w:cs="Times New Roman"/>
          <w:sz w:val="24"/>
          <w:szCs w:val="24"/>
        </w:rPr>
        <w:t xml:space="preserve"> yang </w:t>
      </w:r>
      <w:proofErr w:type="spellStart"/>
      <w:r w:rsidR="00E959E1" w:rsidRPr="00B14ED8">
        <w:rPr>
          <w:rFonts w:ascii="Times New Roman" w:hAnsi="Times New Roman" w:cs="Times New Roman"/>
          <w:sz w:val="24"/>
          <w:szCs w:val="24"/>
        </w:rPr>
        <w:t>berkelanjutan</w:t>
      </w:r>
      <w:proofErr w:type="spellEnd"/>
      <w:r w:rsidR="00E959E1" w:rsidRPr="00B14ED8">
        <w:rPr>
          <w:rFonts w:ascii="Times New Roman" w:hAnsi="Times New Roman" w:cs="Times New Roman"/>
          <w:sz w:val="24"/>
          <w:szCs w:val="24"/>
        </w:rPr>
        <w:t xml:space="preserve"> </w:t>
      </w:r>
      <w:proofErr w:type="spellStart"/>
      <w:r w:rsidR="00E959E1" w:rsidRPr="00B14ED8">
        <w:rPr>
          <w:rFonts w:ascii="Times New Roman" w:hAnsi="Times New Roman" w:cs="Times New Roman"/>
          <w:sz w:val="24"/>
          <w:szCs w:val="24"/>
        </w:rPr>
        <w:t>akan</w:t>
      </w:r>
      <w:proofErr w:type="spellEnd"/>
      <w:r w:rsidR="00E959E1" w:rsidRPr="00B14ED8">
        <w:rPr>
          <w:rFonts w:ascii="Times New Roman" w:hAnsi="Times New Roman" w:cs="Times New Roman"/>
          <w:sz w:val="24"/>
          <w:szCs w:val="24"/>
        </w:rPr>
        <w:t xml:space="preserve"> </w:t>
      </w:r>
      <w:proofErr w:type="spellStart"/>
      <w:r w:rsidR="00E959E1" w:rsidRPr="00B14ED8">
        <w:rPr>
          <w:rFonts w:ascii="Times New Roman" w:hAnsi="Times New Roman" w:cs="Times New Roman"/>
          <w:sz w:val="24"/>
          <w:szCs w:val="24"/>
        </w:rPr>
        <w:t>semakin</w:t>
      </w:r>
      <w:proofErr w:type="spellEnd"/>
      <w:r w:rsidR="00E959E1" w:rsidRPr="00B14ED8">
        <w:rPr>
          <w:rFonts w:ascii="Times New Roman" w:hAnsi="Times New Roman" w:cs="Times New Roman"/>
          <w:sz w:val="24"/>
          <w:szCs w:val="24"/>
        </w:rPr>
        <w:t xml:space="preserve"> </w:t>
      </w:r>
      <w:proofErr w:type="spellStart"/>
      <w:r w:rsidR="008146CC" w:rsidRPr="00B14ED8">
        <w:rPr>
          <w:rFonts w:ascii="Times New Roman" w:hAnsi="Times New Roman" w:cs="Times New Roman"/>
          <w:sz w:val="24"/>
          <w:szCs w:val="24"/>
        </w:rPr>
        <w:t>meminimalkan</w:t>
      </w:r>
      <w:proofErr w:type="spellEnd"/>
      <w:r w:rsidR="008146CC" w:rsidRPr="00B14ED8">
        <w:rPr>
          <w:rFonts w:ascii="Times New Roman" w:hAnsi="Times New Roman" w:cs="Times New Roman"/>
          <w:sz w:val="24"/>
          <w:szCs w:val="24"/>
        </w:rPr>
        <w:t xml:space="preserve"> </w:t>
      </w:r>
      <w:proofErr w:type="spellStart"/>
      <w:r w:rsidR="008146CC" w:rsidRPr="00B14ED8">
        <w:rPr>
          <w:rFonts w:ascii="Times New Roman" w:hAnsi="Times New Roman" w:cs="Times New Roman"/>
          <w:sz w:val="24"/>
          <w:szCs w:val="24"/>
        </w:rPr>
        <w:t>potensi</w:t>
      </w:r>
      <w:proofErr w:type="spellEnd"/>
      <w:r w:rsidR="008146CC" w:rsidRPr="00B14ED8">
        <w:rPr>
          <w:rFonts w:ascii="Times New Roman" w:hAnsi="Times New Roman" w:cs="Times New Roman"/>
          <w:sz w:val="24"/>
          <w:szCs w:val="24"/>
        </w:rPr>
        <w:t xml:space="preserve"> </w:t>
      </w:r>
      <w:proofErr w:type="spellStart"/>
      <w:r w:rsidR="008146CC" w:rsidRPr="00B14ED8">
        <w:rPr>
          <w:rFonts w:ascii="Times New Roman" w:hAnsi="Times New Roman" w:cs="Times New Roman"/>
          <w:sz w:val="24"/>
          <w:szCs w:val="24"/>
        </w:rPr>
        <w:t>keurangan</w:t>
      </w:r>
      <w:proofErr w:type="spellEnd"/>
      <w:r w:rsidR="008146CC" w:rsidRPr="00B14ED8">
        <w:rPr>
          <w:rFonts w:ascii="Times New Roman" w:hAnsi="Times New Roman" w:cs="Times New Roman"/>
          <w:sz w:val="24"/>
          <w:szCs w:val="24"/>
        </w:rPr>
        <w:t xml:space="preserve"> di </w:t>
      </w:r>
      <w:proofErr w:type="spellStart"/>
      <w:r w:rsidR="008146CC" w:rsidRPr="00B14ED8">
        <w:rPr>
          <w:rFonts w:ascii="Times New Roman" w:hAnsi="Times New Roman" w:cs="Times New Roman"/>
          <w:sz w:val="24"/>
          <w:szCs w:val="24"/>
        </w:rPr>
        <w:t>dalam</w:t>
      </w:r>
      <w:proofErr w:type="spellEnd"/>
      <w:r w:rsidR="008146CC" w:rsidRPr="00B14ED8">
        <w:rPr>
          <w:rFonts w:ascii="Times New Roman" w:hAnsi="Times New Roman" w:cs="Times New Roman"/>
          <w:sz w:val="24"/>
          <w:szCs w:val="24"/>
        </w:rPr>
        <w:t xml:space="preserve"> </w:t>
      </w:r>
      <w:proofErr w:type="spellStart"/>
      <w:r w:rsidR="008146CC" w:rsidRPr="00B14ED8">
        <w:rPr>
          <w:rFonts w:ascii="Times New Roman" w:hAnsi="Times New Roman" w:cs="Times New Roman"/>
          <w:sz w:val="24"/>
          <w:szCs w:val="24"/>
        </w:rPr>
        <w:t>pembiayaan</w:t>
      </w:r>
      <w:proofErr w:type="spellEnd"/>
      <w:r w:rsidR="008146CC" w:rsidRPr="00B14ED8">
        <w:rPr>
          <w:rFonts w:ascii="Times New Roman" w:hAnsi="Times New Roman" w:cs="Times New Roman"/>
          <w:sz w:val="24"/>
          <w:szCs w:val="24"/>
        </w:rPr>
        <w:t xml:space="preserve"> </w:t>
      </w:r>
      <w:proofErr w:type="spellStart"/>
      <w:r w:rsidR="008146CC" w:rsidRPr="00B14ED8">
        <w:rPr>
          <w:rFonts w:ascii="Times New Roman" w:hAnsi="Times New Roman" w:cs="Times New Roman"/>
          <w:i/>
          <w:iCs/>
          <w:sz w:val="24"/>
          <w:szCs w:val="24"/>
        </w:rPr>
        <w:t>mdharabah</w:t>
      </w:r>
      <w:proofErr w:type="spellEnd"/>
      <w:r w:rsidR="008146CC" w:rsidRPr="00B14ED8">
        <w:rPr>
          <w:rFonts w:ascii="Times New Roman" w:hAnsi="Times New Roman" w:cs="Times New Roman"/>
          <w:i/>
          <w:iCs/>
          <w:sz w:val="24"/>
          <w:szCs w:val="24"/>
        </w:rPr>
        <w:t xml:space="preserve"> </w:t>
      </w:r>
      <w:proofErr w:type="spellStart"/>
      <w:r w:rsidR="00AF78B2" w:rsidRPr="00B14ED8">
        <w:rPr>
          <w:rFonts w:ascii="Times New Roman" w:hAnsi="Times New Roman" w:cs="Times New Roman"/>
          <w:sz w:val="24"/>
          <w:szCs w:val="24"/>
        </w:rPr>
        <w:t>sehingga</w:t>
      </w:r>
      <w:proofErr w:type="spellEnd"/>
      <w:r w:rsidR="002770B7" w:rsidRPr="00B14ED8">
        <w:rPr>
          <w:rFonts w:ascii="Times New Roman" w:hAnsi="Times New Roman" w:cs="Times New Roman"/>
          <w:sz w:val="24"/>
          <w:szCs w:val="24"/>
        </w:rPr>
        <w:t xml:space="preserve"> </w:t>
      </w:r>
      <w:proofErr w:type="spellStart"/>
      <w:r w:rsidR="002770B7" w:rsidRPr="00B14ED8">
        <w:rPr>
          <w:rFonts w:ascii="Times New Roman" w:hAnsi="Times New Roman" w:cs="Times New Roman"/>
          <w:sz w:val="24"/>
          <w:szCs w:val="24"/>
        </w:rPr>
        <w:t>nilai</w:t>
      </w:r>
      <w:proofErr w:type="spellEnd"/>
      <w:r w:rsidR="002770B7" w:rsidRPr="00B14ED8">
        <w:rPr>
          <w:rFonts w:ascii="Times New Roman" w:hAnsi="Times New Roman" w:cs="Times New Roman"/>
          <w:sz w:val="24"/>
          <w:szCs w:val="24"/>
        </w:rPr>
        <w:t xml:space="preserve"> </w:t>
      </w:r>
      <w:proofErr w:type="spellStart"/>
      <w:r w:rsidR="002770B7" w:rsidRPr="00B14ED8">
        <w:rPr>
          <w:rFonts w:ascii="Times New Roman" w:hAnsi="Times New Roman" w:cs="Times New Roman"/>
          <w:sz w:val="24"/>
          <w:szCs w:val="24"/>
        </w:rPr>
        <w:t>kinerja</w:t>
      </w:r>
      <w:proofErr w:type="spellEnd"/>
      <w:r w:rsidR="002770B7" w:rsidRPr="00B14ED8">
        <w:rPr>
          <w:rFonts w:ascii="Times New Roman" w:hAnsi="Times New Roman" w:cs="Times New Roman"/>
          <w:sz w:val="24"/>
          <w:szCs w:val="24"/>
        </w:rPr>
        <w:t xml:space="preserve"> </w:t>
      </w:r>
      <w:proofErr w:type="spellStart"/>
      <w:r w:rsidR="002770B7" w:rsidRPr="00B14ED8">
        <w:rPr>
          <w:rFonts w:ascii="Times New Roman" w:hAnsi="Times New Roman" w:cs="Times New Roman"/>
          <w:sz w:val="24"/>
          <w:szCs w:val="24"/>
        </w:rPr>
        <w:t>keuangan</w:t>
      </w:r>
      <w:proofErr w:type="spellEnd"/>
      <w:r w:rsidR="002770B7" w:rsidRPr="00B14ED8">
        <w:rPr>
          <w:rFonts w:ascii="Times New Roman" w:hAnsi="Times New Roman" w:cs="Times New Roman"/>
          <w:sz w:val="24"/>
          <w:szCs w:val="24"/>
        </w:rPr>
        <w:t xml:space="preserve"> </w:t>
      </w:r>
      <w:proofErr w:type="spellStart"/>
      <w:r w:rsidR="002770B7" w:rsidRPr="00B14ED8">
        <w:rPr>
          <w:rFonts w:ascii="Times New Roman" w:hAnsi="Times New Roman" w:cs="Times New Roman"/>
          <w:sz w:val="24"/>
          <w:szCs w:val="24"/>
        </w:rPr>
        <w:t>perbankan</w:t>
      </w:r>
      <w:proofErr w:type="spellEnd"/>
      <w:r w:rsidR="002770B7" w:rsidRPr="00B14ED8">
        <w:rPr>
          <w:rFonts w:ascii="Times New Roman" w:hAnsi="Times New Roman" w:cs="Times New Roman"/>
          <w:sz w:val="24"/>
          <w:szCs w:val="24"/>
        </w:rPr>
        <w:t xml:space="preserve"> </w:t>
      </w:r>
      <w:proofErr w:type="spellStart"/>
      <w:r w:rsidR="002770B7" w:rsidRPr="00B14ED8">
        <w:rPr>
          <w:rFonts w:ascii="Times New Roman" w:hAnsi="Times New Roman" w:cs="Times New Roman"/>
          <w:sz w:val="24"/>
          <w:szCs w:val="24"/>
        </w:rPr>
        <w:t>syariah</w:t>
      </w:r>
      <w:proofErr w:type="spellEnd"/>
      <w:r w:rsidR="008D56F2" w:rsidRPr="00B14ED8">
        <w:rPr>
          <w:rFonts w:ascii="Times New Roman" w:hAnsi="Times New Roman" w:cs="Times New Roman"/>
          <w:sz w:val="24"/>
          <w:szCs w:val="24"/>
        </w:rPr>
        <w:t xml:space="preserve"> </w:t>
      </w:r>
      <w:proofErr w:type="spellStart"/>
      <w:r w:rsidR="008D56F2" w:rsidRPr="00B14ED8">
        <w:rPr>
          <w:rFonts w:ascii="Times New Roman" w:hAnsi="Times New Roman" w:cs="Times New Roman"/>
          <w:sz w:val="24"/>
          <w:szCs w:val="24"/>
        </w:rPr>
        <w:t>dapat</w:t>
      </w:r>
      <w:proofErr w:type="spellEnd"/>
      <w:r w:rsidR="008D56F2" w:rsidRPr="00B14ED8">
        <w:rPr>
          <w:rFonts w:ascii="Times New Roman" w:hAnsi="Times New Roman" w:cs="Times New Roman"/>
          <w:sz w:val="24"/>
          <w:szCs w:val="24"/>
        </w:rPr>
        <w:t xml:space="preserve"> </w:t>
      </w:r>
      <w:proofErr w:type="spellStart"/>
      <w:r w:rsidR="008D56F2" w:rsidRPr="00B14ED8">
        <w:rPr>
          <w:rFonts w:ascii="Times New Roman" w:hAnsi="Times New Roman" w:cs="Times New Roman"/>
          <w:sz w:val="24"/>
          <w:szCs w:val="24"/>
        </w:rPr>
        <w:t>lebih</w:t>
      </w:r>
      <w:proofErr w:type="spellEnd"/>
      <w:r w:rsidR="008D56F2" w:rsidRPr="00B14ED8">
        <w:rPr>
          <w:rFonts w:ascii="Times New Roman" w:hAnsi="Times New Roman" w:cs="Times New Roman"/>
          <w:sz w:val="24"/>
          <w:szCs w:val="24"/>
        </w:rPr>
        <w:t xml:space="preserve"> </w:t>
      </w:r>
      <w:proofErr w:type="spellStart"/>
      <w:r w:rsidR="008D56F2" w:rsidRPr="00B14ED8">
        <w:rPr>
          <w:rFonts w:ascii="Times New Roman" w:hAnsi="Times New Roman" w:cs="Times New Roman"/>
          <w:sz w:val="24"/>
          <w:szCs w:val="24"/>
        </w:rPr>
        <w:t>ditingkatkan</w:t>
      </w:r>
      <w:proofErr w:type="spellEnd"/>
      <w:r w:rsidR="002770B7" w:rsidRPr="00B14ED8">
        <w:rPr>
          <w:rFonts w:ascii="Times New Roman" w:hAnsi="Times New Roman" w:cs="Times New Roman"/>
          <w:sz w:val="24"/>
          <w:szCs w:val="24"/>
        </w:rPr>
        <w:t>.</w:t>
      </w:r>
      <w:r w:rsidR="00A505E0" w:rsidRPr="00B14ED8">
        <w:rPr>
          <w:rFonts w:ascii="Times New Roman" w:hAnsi="Times New Roman" w:cs="Times New Roman"/>
          <w:sz w:val="24"/>
          <w:szCs w:val="24"/>
        </w:rPr>
        <w:t xml:space="preserve"> </w:t>
      </w:r>
      <w:proofErr w:type="spellStart"/>
      <w:r w:rsidR="00A505E0" w:rsidRPr="00B14ED8">
        <w:rPr>
          <w:rFonts w:ascii="Times New Roman" w:hAnsi="Times New Roman" w:cs="Times New Roman"/>
          <w:sz w:val="24"/>
          <w:szCs w:val="24"/>
        </w:rPr>
        <w:t>Berdasarkan</w:t>
      </w:r>
      <w:proofErr w:type="spellEnd"/>
      <w:r w:rsidR="00A505E0" w:rsidRPr="00B14ED8">
        <w:rPr>
          <w:rFonts w:ascii="Times New Roman" w:hAnsi="Times New Roman" w:cs="Times New Roman"/>
          <w:sz w:val="24"/>
          <w:szCs w:val="24"/>
        </w:rPr>
        <w:t xml:space="preserve"> pada </w:t>
      </w:r>
      <w:proofErr w:type="spellStart"/>
      <w:r w:rsidR="00A505E0" w:rsidRPr="00B14ED8">
        <w:rPr>
          <w:rFonts w:ascii="Times New Roman" w:hAnsi="Times New Roman" w:cs="Times New Roman"/>
          <w:sz w:val="24"/>
          <w:szCs w:val="24"/>
        </w:rPr>
        <w:t>keterangan</w:t>
      </w:r>
      <w:proofErr w:type="spellEnd"/>
      <w:r w:rsidR="00A505E0" w:rsidRPr="00B14ED8">
        <w:rPr>
          <w:rFonts w:ascii="Times New Roman" w:hAnsi="Times New Roman" w:cs="Times New Roman"/>
          <w:sz w:val="24"/>
          <w:szCs w:val="24"/>
        </w:rPr>
        <w:t xml:space="preserve"> </w:t>
      </w:r>
      <w:proofErr w:type="spellStart"/>
      <w:r w:rsidR="00A505E0" w:rsidRPr="00B14ED8">
        <w:rPr>
          <w:rFonts w:ascii="Times New Roman" w:hAnsi="Times New Roman" w:cs="Times New Roman"/>
          <w:sz w:val="24"/>
          <w:szCs w:val="24"/>
        </w:rPr>
        <w:t>ini</w:t>
      </w:r>
      <w:proofErr w:type="spellEnd"/>
      <w:r w:rsidR="00A505E0" w:rsidRPr="00B14ED8">
        <w:rPr>
          <w:rFonts w:ascii="Times New Roman" w:hAnsi="Times New Roman" w:cs="Times New Roman"/>
          <w:sz w:val="24"/>
          <w:szCs w:val="24"/>
        </w:rPr>
        <w:t xml:space="preserve"> </w:t>
      </w:r>
      <w:proofErr w:type="spellStart"/>
      <w:r w:rsidR="00A505E0" w:rsidRPr="00B14ED8">
        <w:rPr>
          <w:rFonts w:ascii="Times New Roman" w:hAnsi="Times New Roman" w:cs="Times New Roman"/>
          <w:sz w:val="24"/>
          <w:szCs w:val="24"/>
        </w:rPr>
        <w:t>maka</w:t>
      </w:r>
      <w:proofErr w:type="spellEnd"/>
      <w:r w:rsidR="00A505E0" w:rsidRPr="00B14ED8">
        <w:rPr>
          <w:rFonts w:ascii="Times New Roman" w:hAnsi="Times New Roman" w:cs="Times New Roman"/>
          <w:sz w:val="24"/>
          <w:szCs w:val="24"/>
        </w:rPr>
        <w:t xml:space="preserve"> </w:t>
      </w:r>
      <w:proofErr w:type="spellStart"/>
      <w:r w:rsidR="00A505E0" w:rsidRPr="00B14ED8">
        <w:rPr>
          <w:rFonts w:ascii="Times New Roman" w:hAnsi="Times New Roman" w:cs="Times New Roman"/>
          <w:sz w:val="24"/>
          <w:szCs w:val="24"/>
        </w:rPr>
        <w:t>hipotesis</w:t>
      </w:r>
      <w:proofErr w:type="spellEnd"/>
      <w:r w:rsidR="00A505E0" w:rsidRPr="00B14ED8">
        <w:rPr>
          <w:rFonts w:ascii="Times New Roman" w:hAnsi="Times New Roman" w:cs="Times New Roman"/>
          <w:sz w:val="24"/>
          <w:szCs w:val="24"/>
        </w:rPr>
        <w:t xml:space="preserve"> 3 </w:t>
      </w:r>
      <w:proofErr w:type="spellStart"/>
      <w:r w:rsidR="00A505E0" w:rsidRPr="00B14ED8">
        <w:rPr>
          <w:rFonts w:ascii="Times New Roman" w:hAnsi="Times New Roman" w:cs="Times New Roman"/>
          <w:sz w:val="24"/>
          <w:szCs w:val="24"/>
        </w:rPr>
        <w:t>penelitian</w:t>
      </w:r>
      <w:proofErr w:type="spellEnd"/>
      <w:r w:rsidR="00A505E0" w:rsidRPr="00B14ED8">
        <w:rPr>
          <w:rFonts w:ascii="Times New Roman" w:hAnsi="Times New Roman" w:cs="Times New Roman"/>
          <w:sz w:val="24"/>
          <w:szCs w:val="24"/>
        </w:rPr>
        <w:t xml:space="preserve"> yang </w:t>
      </w:r>
      <w:proofErr w:type="spellStart"/>
      <w:r w:rsidR="00A505E0" w:rsidRPr="00B14ED8">
        <w:rPr>
          <w:rFonts w:ascii="Times New Roman" w:hAnsi="Times New Roman" w:cs="Times New Roman"/>
          <w:sz w:val="24"/>
          <w:szCs w:val="24"/>
        </w:rPr>
        <w:t>diajukan</w:t>
      </w:r>
      <w:proofErr w:type="spellEnd"/>
      <w:r w:rsidR="00A505E0" w:rsidRPr="00B14ED8">
        <w:rPr>
          <w:rFonts w:ascii="Times New Roman" w:hAnsi="Times New Roman" w:cs="Times New Roman"/>
          <w:sz w:val="24"/>
          <w:szCs w:val="24"/>
        </w:rPr>
        <w:t xml:space="preserve"> </w:t>
      </w:r>
      <w:proofErr w:type="spellStart"/>
      <w:r w:rsidR="00A505E0" w:rsidRPr="00B14ED8">
        <w:rPr>
          <w:rFonts w:ascii="Times New Roman" w:hAnsi="Times New Roman" w:cs="Times New Roman"/>
          <w:sz w:val="24"/>
          <w:szCs w:val="24"/>
        </w:rPr>
        <w:t>adalah</w:t>
      </w:r>
      <w:proofErr w:type="spellEnd"/>
      <w:r w:rsidR="00A505E0" w:rsidRPr="00B14ED8">
        <w:rPr>
          <w:rFonts w:ascii="Times New Roman" w:hAnsi="Times New Roman" w:cs="Times New Roman"/>
          <w:sz w:val="24"/>
          <w:szCs w:val="24"/>
        </w:rPr>
        <w:t xml:space="preserve"> </w:t>
      </w:r>
      <w:proofErr w:type="spellStart"/>
      <w:r w:rsidR="00A505E0" w:rsidRPr="00B14ED8">
        <w:rPr>
          <w:rFonts w:ascii="Times New Roman" w:hAnsi="Times New Roman" w:cs="Times New Roman"/>
          <w:sz w:val="24"/>
          <w:szCs w:val="24"/>
        </w:rPr>
        <w:t>sebagai</w:t>
      </w:r>
      <w:proofErr w:type="spellEnd"/>
      <w:r w:rsidR="00A505E0" w:rsidRPr="00B14ED8">
        <w:rPr>
          <w:rFonts w:ascii="Times New Roman" w:hAnsi="Times New Roman" w:cs="Times New Roman"/>
          <w:sz w:val="24"/>
          <w:szCs w:val="24"/>
        </w:rPr>
        <w:t xml:space="preserve"> </w:t>
      </w:r>
      <w:proofErr w:type="spellStart"/>
      <w:r w:rsidR="00A505E0" w:rsidRPr="00B14ED8">
        <w:rPr>
          <w:rFonts w:ascii="Times New Roman" w:hAnsi="Times New Roman" w:cs="Times New Roman"/>
          <w:sz w:val="24"/>
          <w:szCs w:val="24"/>
        </w:rPr>
        <w:t>berikut</w:t>
      </w:r>
      <w:proofErr w:type="spellEnd"/>
      <w:r w:rsidR="00A505E0" w:rsidRPr="00B14ED8">
        <w:rPr>
          <w:rFonts w:ascii="Times New Roman" w:hAnsi="Times New Roman" w:cs="Times New Roman"/>
          <w:sz w:val="24"/>
          <w:szCs w:val="24"/>
        </w:rPr>
        <w:t>:</w:t>
      </w:r>
    </w:p>
    <w:p w14:paraId="1101533E" w14:textId="6F47E59B" w:rsidR="00B3267F" w:rsidRPr="00B14ED8" w:rsidRDefault="00052F94" w:rsidP="00B14ED8">
      <w:pPr>
        <w:tabs>
          <w:tab w:val="left" w:pos="567"/>
        </w:tabs>
        <w:spacing w:after="0" w:line="360" w:lineRule="auto"/>
        <w:jc w:val="both"/>
        <w:rPr>
          <w:rFonts w:ascii="Times New Roman" w:eastAsia="Times New Roman" w:hAnsi="Times New Roman" w:cs="Times New Roman"/>
          <w:sz w:val="24"/>
          <w:szCs w:val="24"/>
        </w:rPr>
      </w:pPr>
      <w:r w:rsidRPr="00B14ED8">
        <w:rPr>
          <w:rFonts w:ascii="Times New Roman" w:eastAsia="Times New Roman" w:hAnsi="Times New Roman" w:cs="Times New Roman"/>
          <w:sz w:val="24"/>
          <w:szCs w:val="24"/>
        </w:rPr>
        <w:t>H</w:t>
      </w:r>
      <w:r w:rsidR="00A97F42" w:rsidRPr="00B14ED8">
        <w:rPr>
          <w:rFonts w:ascii="Times New Roman" w:eastAsia="Times New Roman" w:hAnsi="Times New Roman" w:cs="Times New Roman"/>
          <w:sz w:val="24"/>
          <w:szCs w:val="24"/>
        </w:rPr>
        <w:t>3</w:t>
      </w:r>
      <w:r w:rsidRPr="00B14ED8">
        <w:rPr>
          <w:rFonts w:ascii="Times New Roman" w:eastAsia="Times New Roman" w:hAnsi="Times New Roman" w:cs="Times New Roman"/>
          <w:sz w:val="24"/>
          <w:szCs w:val="24"/>
        </w:rPr>
        <w:t xml:space="preserve">: </w:t>
      </w:r>
      <w:proofErr w:type="spellStart"/>
      <w:r w:rsidR="00A97F42" w:rsidRPr="00B14ED8">
        <w:rPr>
          <w:rFonts w:ascii="Times New Roman" w:eastAsia="Times New Roman" w:hAnsi="Times New Roman" w:cs="Times New Roman"/>
          <w:sz w:val="24"/>
          <w:szCs w:val="24"/>
        </w:rPr>
        <w:t>Manajemen</w:t>
      </w:r>
      <w:proofErr w:type="spellEnd"/>
      <w:r w:rsidR="00A97F42" w:rsidRPr="00B14ED8">
        <w:rPr>
          <w:rFonts w:ascii="Times New Roman" w:eastAsia="Times New Roman" w:hAnsi="Times New Roman" w:cs="Times New Roman"/>
          <w:sz w:val="24"/>
          <w:szCs w:val="24"/>
        </w:rPr>
        <w:t xml:space="preserve"> </w:t>
      </w:r>
      <w:proofErr w:type="spellStart"/>
      <w:r w:rsidR="00A97F42" w:rsidRPr="00B14ED8">
        <w:rPr>
          <w:rFonts w:ascii="Times New Roman" w:eastAsia="Times New Roman" w:hAnsi="Times New Roman" w:cs="Times New Roman"/>
          <w:sz w:val="24"/>
          <w:szCs w:val="24"/>
        </w:rPr>
        <w:t>risiko</w:t>
      </w:r>
      <w:proofErr w:type="spellEnd"/>
      <w:r w:rsidR="00A97F42" w:rsidRPr="00B14ED8">
        <w:rPr>
          <w:rFonts w:ascii="Times New Roman" w:eastAsia="Times New Roman" w:hAnsi="Times New Roman" w:cs="Times New Roman"/>
          <w:sz w:val="24"/>
          <w:szCs w:val="24"/>
        </w:rPr>
        <w:t xml:space="preserve"> </w:t>
      </w:r>
      <w:proofErr w:type="spellStart"/>
      <w:r w:rsidR="00A97F42" w:rsidRPr="00B14ED8">
        <w:rPr>
          <w:rFonts w:ascii="Times New Roman" w:eastAsia="Times New Roman" w:hAnsi="Times New Roman" w:cs="Times New Roman"/>
          <w:sz w:val="24"/>
          <w:szCs w:val="24"/>
        </w:rPr>
        <w:t>mampu</w:t>
      </w:r>
      <w:proofErr w:type="spellEnd"/>
      <w:r w:rsidR="00A97F42" w:rsidRPr="00B14ED8">
        <w:rPr>
          <w:rFonts w:ascii="Times New Roman" w:eastAsia="Times New Roman" w:hAnsi="Times New Roman" w:cs="Times New Roman"/>
          <w:sz w:val="24"/>
          <w:szCs w:val="24"/>
        </w:rPr>
        <w:t xml:space="preserve"> </w:t>
      </w:r>
      <w:proofErr w:type="spellStart"/>
      <w:r w:rsidR="00A97F42" w:rsidRPr="00B14ED8">
        <w:rPr>
          <w:rFonts w:ascii="Times New Roman" w:eastAsia="Times New Roman" w:hAnsi="Times New Roman" w:cs="Times New Roman"/>
          <w:sz w:val="24"/>
          <w:szCs w:val="24"/>
        </w:rPr>
        <w:t>mem</w:t>
      </w:r>
      <w:r w:rsidR="001D5CC0" w:rsidRPr="00B14ED8">
        <w:rPr>
          <w:rFonts w:ascii="Times New Roman" w:eastAsia="Times New Roman" w:hAnsi="Times New Roman" w:cs="Times New Roman"/>
          <w:sz w:val="24"/>
          <w:szCs w:val="24"/>
        </w:rPr>
        <w:t>oderasi</w:t>
      </w:r>
      <w:proofErr w:type="spellEnd"/>
      <w:r w:rsidR="00A97F42" w:rsidRPr="00B14ED8">
        <w:rPr>
          <w:rFonts w:ascii="Times New Roman" w:eastAsia="Times New Roman" w:hAnsi="Times New Roman" w:cs="Times New Roman"/>
          <w:sz w:val="24"/>
          <w:szCs w:val="24"/>
        </w:rPr>
        <w:t xml:space="preserve"> </w:t>
      </w:r>
      <w:proofErr w:type="spellStart"/>
      <w:r w:rsidR="00A97F42" w:rsidRPr="00B14ED8">
        <w:rPr>
          <w:rFonts w:ascii="Times New Roman" w:eastAsia="Times New Roman" w:hAnsi="Times New Roman" w:cs="Times New Roman"/>
          <w:sz w:val="24"/>
          <w:szCs w:val="24"/>
        </w:rPr>
        <w:t>pengaruh</w:t>
      </w:r>
      <w:proofErr w:type="spellEnd"/>
      <w:r w:rsidR="00A97F42" w:rsidRPr="00B14ED8">
        <w:rPr>
          <w:rFonts w:ascii="Times New Roman" w:eastAsia="Times New Roman" w:hAnsi="Times New Roman" w:cs="Times New Roman"/>
          <w:sz w:val="24"/>
          <w:szCs w:val="24"/>
        </w:rPr>
        <w:t xml:space="preserve"> </w:t>
      </w:r>
      <w:proofErr w:type="spellStart"/>
      <w:r w:rsidR="00A97F42" w:rsidRPr="00B14ED8">
        <w:rPr>
          <w:rFonts w:ascii="Times New Roman" w:eastAsia="Times New Roman" w:hAnsi="Times New Roman" w:cs="Times New Roman"/>
          <w:sz w:val="24"/>
          <w:szCs w:val="24"/>
        </w:rPr>
        <w:t>pembiayaan</w:t>
      </w:r>
      <w:proofErr w:type="spellEnd"/>
      <w:r w:rsidR="00A97F42" w:rsidRPr="00B14ED8">
        <w:rPr>
          <w:rFonts w:ascii="Times New Roman" w:eastAsia="Times New Roman" w:hAnsi="Times New Roman" w:cs="Times New Roman"/>
          <w:sz w:val="24"/>
          <w:szCs w:val="24"/>
        </w:rPr>
        <w:t xml:space="preserve"> </w:t>
      </w:r>
      <w:proofErr w:type="spellStart"/>
      <w:r w:rsidR="00A97F42" w:rsidRPr="00B14ED8">
        <w:rPr>
          <w:rFonts w:ascii="Times New Roman" w:eastAsia="Times New Roman" w:hAnsi="Times New Roman" w:cs="Times New Roman"/>
          <w:i/>
          <w:iCs/>
          <w:sz w:val="24"/>
          <w:szCs w:val="24"/>
        </w:rPr>
        <w:t>mu</w:t>
      </w:r>
      <w:r w:rsidR="00942AB4" w:rsidRPr="00B14ED8">
        <w:rPr>
          <w:rFonts w:ascii="Times New Roman" w:eastAsia="Times New Roman" w:hAnsi="Times New Roman" w:cs="Times New Roman"/>
          <w:i/>
          <w:iCs/>
          <w:sz w:val="24"/>
          <w:szCs w:val="24"/>
        </w:rPr>
        <w:t>dharabah</w:t>
      </w:r>
      <w:proofErr w:type="spellEnd"/>
      <w:r w:rsidR="00942AB4" w:rsidRPr="00B14ED8">
        <w:rPr>
          <w:rFonts w:ascii="Times New Roman" w:eastAsia="Times New Roman" w:hAnsi="Times New Roman" w:cs="Times New Roman"/>
          <w:i/>
          <w:iCs/>
          <w:sz w:val="24"/>
          <w:szCs w:val="24"/>
        </w:rPr>
        <w:t xml:space="preserve"> </w:t>
      </w:r>
      <w:proofErr w:type="spellStart"/>
      <w:r w:rsidR="00A97F42" w:rsidRPr="00B14ED8">
        <w:rPr>
          <w:rFonts w:ascii="Times New Roman" w:eastAsia="Times New Roman" w:hAnsi="Times New Roman" w:cs="Times New Roman"/>
          <w:sz w:val="24"/>
          <w:szCs w:val="24"/>
        </w:rPr>
        <w:t>terhadap</w:t>
      </w:r>
      <w:proofErr w:type="spellEnd"/>
      <w:r w:rsidR="00A97F42" w:rsidRPr="00B14ED8">
        <w:rPr>
          <w:rFonts w:ascii="Times New Roman" w:eastAsia="Times New Roman" w:hAnsi="Times New Roman" w:cs="Times New Roman"/>
          <w:sz w:val="24"/>
          <w:szCs w:val="24"/>
        </w:rPr>
        <w:t xml:space="preserve"> </w:t>
      </w:r>
      <w:proofErr w:type="spellStart"/>
      <w:r w:rsidR="00A97F42" w:rsidRPr="00B14ED8">
        <w:rPr>
          <w:rFonts w:ascii="Times New Roman" w:eastAsia="Times New Roman" w:hAnsi="Times New Roman" w:cs="Times New Roman"/>
          <w:sz w:val="24"/>
          <w:szCs w:val="24"/>
        </w:rPr>
        <w:t>kinerja</w:t>
      </w:r>
      <w:proofErr w:type="spellEnd"/>
      <w:r w:rsidR="00A97F42" w:rsidRPr="00B14ED8">
        <w:rPr>
          <w:rFonts w:ascii="Times New Roman" w:eastAsia="Times New Roman" w:hAnsi="Times New Roman" w:cs="Times New Roman"/>
          <w:sz w:val="24"/>
          <w:szCs w:val="24"/>
        </w:rPr>
        <w:t xml:space="preserve"> </w:t>
      </w:r>
    </w:p>
    <w:p w14:paraId="2448C854" w14:textId="14554455" w:rsidR="00052F94" w:rsidRPr="00B14ED8" w:rsidRDefault="00B3267F" w:rsidP="00B14ED8">
      <w:pPr>
        <w:tabs>
          <w:tab w:val="left" w:pos="567"/>
        </w:tabs>
        <w:spacing w:after="0" w:line="360" w:lineRule="auto"/>
        <w:jc w:val="both"/>
        <w:rPr>
          <w:rFonts w:ascii="Times New Roman" w:eastAsia="Times New Roman" w:hAnsi="Times New Roman" w:cs="Times New Roman"/>
          <w:sz w:val="24"/>
          <w:szCs w:val="24"/>
        </w:rPr>
      </w:pPr>
      <w:r w:rsidRPr="00B14ED8">
        <w:rPr>
          <w:rFonts w:ascii="Times New Roman" w:eastAsia="Times New Roman" w:hAnsi="Times New Roman" w:cs="Times New Roman"/>
          <w:sz w:val="24"/>
          <w:szCs w:val="24"/>
        </w:rPr>
        <w:t xml:space="preserve">       </w:t>
      </w:r>
      <w:proofErr w:type="spellStart"/>
      <w:r w:rsidR="00A97F42" w:rsidRPr="00B14ED8">
        <w:rPr>
          <w:rFonts w:ascii="Times New Roman" w:eastAsia="Times New Roman" w:hAnsi="Times New Roman" w:cs="Times New Roman"/>
          <w:sz w:val="24"/>
          <w:szCs w:val="24"/>
        </w:rPr>
        <w:t>keuangan</w:t>
      </w:r>
      <w:proofErr w:type="spellEnd"/>
    </w:p>
    <w:p w14:paraId="78CAA9A5" w14:textId="5CA54487" w:rsidR="008111D5" w:rsidRPr="00B14ED8" w:rsidRDefault="008111D5" w:rsidP="00B14ED8">
      <w:pPr>
        <w:tabs>
          <w:tab w:val="left" w:pos="567"/>
        </w:tabs>
        <w:spacing w:after="0" w:line="360" w:lineRule="auto"/>
        <w:jc w:val="both"/>
        <w:rPr>
          <w:rFonts w:ascii="Times New Roman" w:eastAsia="Times New Roman" w:hAnsi="Times New Roman" w:cs="Times New Roman"/>
          <w:b/>
          <w:bCs/>
          <w:sz w:val="24"/>
          <w:szCs w:val="24"/>
        </w:rPr>
      </w:pPr>
      <w:proofErr w:type="spellStart"/>
      <w:r w:rsidRPr="00B14ED8">
        <w:rPr>
          <w:rFonts w:ascii="Times New Roman" w:eastAsia="Times New Roman" w:hAnsi="Times New Roman" w:cs="Times New Roman"/>
          <w:b/>
          <w:bCs/>
          <w:sz w:val="24"/>
          <w:szCs w:val="24"/>
        </w:rPr>
        <w:t>Hubungan</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Pembiayaan</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i/>
          <w:iCs/>
          <w:sz w:val="24"/>
          <w:szCs w:val="24"/>
        </w:rPr>
        <w:t>Mu</w:t>
      </w:r>
      <w:r w:rsidR="00C061AD" w:rsidRPr="00B14ED8">
        <w:rPr>
          <w:rFonts w:ascii="Times New Roman" w:eastAsia="Times New Roman" w:hAnsi="Times New Roman" w:cs="Times New Roman"/>
          <w:b/>
          <w:bCs/>
          <w:i/>
          <w:iCs/>
          <w:sz w:val="24"/>
          <w:szCs w:val="24"/>
        </w:rPr>
        <w:t>syarakah</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terhadap</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Kinerja</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Keuangan</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dengan</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Moderasi</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Manajemen</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Risiko</w:t>
      </w:r>
      <w:proofErr w:type="spellEnd"/>
    </w:p>
    <w:p w14:paraId="79B068E6" w14:textId="1BCB36AA" w:rsidR="00DE71F1" w:rsidRPr="00B14ED8" w:rsidRDefault="009B40DA" w:rsidP="00B14ED8">
      <w:pPr>
        <w:tabs>
          <w:tab w:val="left" w:pos="567"/>
        </w:tabs>
        <w:spacing w:after="0" w:line="360" w:lineRule="auto"/>
        <w:ind w:firstLine="567"/>
        <w:jc w:val="both"/>
        <w:rPr>
          <w:rFonts w:ascii="Times New Roman" w:eastAsia="Times New Roman" w:hAnsi="Times New Roman" w:cs="Times New Roman"/>
          <w:sz w:val="24"/>
          <w:szCs w:val="24"/>
        </w:rPr>
      </w:pPr>
      <w:proofErr w:type="spellStart"/>
      <w:r w:rsidRPr="00B14ED8">
        <w:rPr>
          <w:rFonts w:ascii="Times New Roman" w:eastAsia="Times New Roman" w:hAnsi="Times New Roman" w:cs="Times New Roman"/>
          <w:sz w:val="24"/>
          <w:szCs w:val="24"/>
        </w:rPr>
        <w:t>Penelitian</w:t>
      </w:r>
      <w:proofErr w:type="spellEnd"/>
      <w:r w:rsidR="00325EEF" w:rsidRPr="00B14ED8">
        <w:rPr>
          <w:rFonts w:ascii="Times New Roman" w:eastAsia="Times New Roman" w:hAnsi="Times New Roman" w:cs="Times New Roman"/>
          <w:sz w:val="24"/>
          <w:szCs w:val="24"/>
        </w:rPr>
        <w:t xml:space="preserve"> </w:t>
      </w:r>
      <w:r w:rsidR="00325EEF" w:rsidRPr="00B14ED8">
        <w:rPr>
          <w:rFonts w:ascii="Times New Roman" w:eastAsia="Times New Roman" w:hAnsi="Times New Roman" w:cs="Times New Roman"/>
          <w:sz w:val="24"/>
          <w:szCs w:val="24"/>
        </w:rPr>
        <w:fldChar w:fldCharType="begin" w:fldLock="1"/>
      </w:r>
      <w:r w:rsidR="00E211CC" w:rsidRPr="00B14ED8">
        <w:rPr>
          <w:rFonts w:ascii="Times New Roman" w:eastAsia="Times New Roman" w:hAnsi="Times New Roman" w:cs="Times New Roman"/>
          <w:sz w:val="24"/>
          <w:szCs w:val="24"/>
        </w:rPr>
        <w:instrText>ADDIN CSL_CITATION {"citationItems":[{"id":"ITEM-1","itemData":{"DOI":"10.1177/0007650317746108","ISSN":"15524205","abstract":"We examine the relationships among religious governance, especially Islamic governance quality (IGQ), national governance quality (NGQ), and risk management and disclosure practices (RDPs), and consequently ascertain whether NGQ has a moderating influence on the IGQ–RDPs nexus. Using one of the largest data sets relating to Islamic banks from 10 Middle East and North Africa (MENA) countries from 2006 to 2013, our findings are threefold. First, we find that RDPs are higher in banks with higher IGQ. Second, we find that RDPs are higher in banks from countries with higher NGQ. Finally, we find that NGQ has a moderating effect on the IGQ–RDPs nexus. Our findings are robust to alternative RDP measures and estimation techniques. These results imply that the quality of disclosure depends on the nature of the macro-social-level factors, such as religion that have remained largely unexplored in business and society research, and, therefore, have important implications for policy makers.","author":[{"dropping-particle":"","family":"Elamer","given":"Ahmed A.","non-dropping-particle":"","parse-names":false,"suffix":""},{"dropping-particle":"","family":"Ntim","given":"Collins G.","non-dropping-particle":"","parse-names":false,"suffix":""},{"dropping-particle":"","family":"Abdou","given":"Hussein A.","non-dropping-particle":"","parse-names":false,"suffix":""}],"container-title":"Business and Society","id":"ITEM-1","issue":"5","issued":{"date-parts":[["2020"]]},"page":"914-955","title":"Islamic Governance, National Governance, and Bank Risk Management and Disclosure in MENA Countries","type":"article-journal","volume":"59"},"uris":["http://www.mendeley.com/documents/?uuid=19d098b2-1161-4955-89e0-2588e2c4344c"]}],"mendeley":{"formattedCitation":"(Elamer et al., 2020)","manualFormatting":"Elamer et al (2020)","plainTextFormattedCitation":"(Elamer et al., 2020)","previouslyFormattedCitation":"(Elamer et al., 2020)"},"properties":{"noteIndex":0},"schema":"https://github.com/citation-style-language/schema/raw/master/csl-citation.json"}</w:instrText>
      </w:r>
      <w:r w:rsidR="00325EEF" w:rsidRPr="00B14ED8">
        <w:rPr>
          <w:rFonts w:ascii="Times New Roman" w:eastAsia="Times New Roman" w:hAnsi="Times New Roman" w:cs="Times New Roman"/>
          <w:sz w:val="24"/>
          <w:szCs w:val="24"/>
        </w:rPr>
        <w:fldChar w:fldCharType="separate"/>
      </w:r>
      <w:r w:rsidR="00325EEF" w:rsidRPr="00B14ED8">
        <w:rPr>
          <w:rFonts w:ascii="Times New Roman" w:eastAsia="Times New Roman" w:hAnsi="Times New Roman" w:cs="Times New Roman"/>
          <w:noProof/>
          <w:sz w:val="24"/>
          <w:szCs w:val="24"/>
        </w:rPr>
        <w:t>Elamer et al (2020)</w:t>
      </w:r>
      <w:r w:rsidR="00325EEF" w:rsidRPr="00B14ED8">
        <w:rPr>
          <w:rFonts w:ascii="Times New Roman" w:eastAsia="Times New Roman" w:hAnsi="Times New Roman" w:cs="Times New Roman"/>
          <w:sz w:val="24"/>
          <w:szCs w:val="24"/>
        </w:rPr>
        <w:fldChar w:fldCharType="end"/>
      </w:r>
      <w:r w:rsidR="00673E40" w:rsidRPr="00B14ED8">
        <w:rPr>
          <w:rFonts w:ascii="Times New Roman" w:eastAsia="Times New Roman" w:hAnsi="Times New Roman" w:cs="Times New Roman"/>
          <w:sz w:val="24"/>
          <w:szCs w:val="24"/>
        </w:rPr>
        <w:t xml:space="preserve"> </w:t>
      </w:r>
      <w:proofErr w:type="spellStart"/>
      <w:r w:rsidR="00C7765B" w:rsidRPr="00B14ED8">
        <w:rPr>
          <w:rFonts w:ascii="Times New Roman" w:eastAsia="Times New Roman" w:hAnsi="Times New Roman" w:cs="Times New Roman"/>
          <w:sz w:val="24"/>
          <w:szCs w:val="24"/>
        </w:rPr>
        <w:t>menyimpulkan</w:t>
      </w:r>
      <w:proofErr w:type="spellEnd"/>
      <w:r w:rsidR="00C7765B" w:rsidRPr="00B14ED8">
        <w:rPr>
          <w:rFonts w:ascii="Times New Roman" w:eastAsia="Times New Roman" w:hAnsi="Times New Roman" w:cs="Times New Roman"/>
          <w:sz w:val="24"/>
          <w:szCs w:val="24"/>
        </w:rPr>
        <w:t xml:space="preserve"> </w:t>
      </w:r>
      <w:proofErr w:type="spellStart"/>
      <w:r w:rsidR="00C7765B" w:rsidRPr="00B14ED8">
        <w:rPr>
          <w:rFonts w:ascii="Times New Roman" w:eastAsia="Times New Roman" w:hAnsi="Times New Roman" w:cs="Times New Roman"/>
          <w:sz w:val="24"/>
          <w:szCs w:val="24"/>
        </w:rPr>
        <w:t>bahwa</w:t>
      </w:r>
      <w:proofErr w:type="spellEnd"/>
      <w:r w:rsidR="00C7765B" w:rsidRPr="00B14ED8">
        <w:rPr>
          <w:rFonts w:ascii="Times New Roman" w:eastAsia="Times New Roman" w:hAnsi="Times New Roman" w:cs="Times New Roman"/>
          <w:sz w:val="24"/>
          <w:szCs w:val="24"/>
        </w:rPr>
        <w:t xml:space="preserve"> </w:t>
      </w:r>
      <w:proofErr w:type="spellStart"/>
      <w:r w:rsidR="00003D28" w:rsidRPr="00B14ED8">
        <w:rPr>
          <w:rFonts w:ascii="Times New Roman" w:eastAsia="Times New Roman" w:hAnsi="Times New Roman" w:cs="Times New Roman"/>
          <w:sz w:val="24"/>
          <w:szCs w:val="24"/>
        </w:rPr>
        <w:t>manajemen</w:t>
      </w:r>
      <w:proofErr w:type="spellEnd"/>
      <w:r w:rsidR="00003D28" w:rsidRPr="00B14ED8">
        <w:rPr>
          <w:rFonts w:ascii="Times New Roman" w:eastAsia="Times New Roman" w:hAnsi="Times New Roman" w:cs="Times New Roman"/>
          <w:sz w:val="24"/>
          <w:szCs w:val="24"/>
        </w:rPr>
        <w:t xml:space="preserve"> </w:t>
      </w:r>
      <w:proofErr w:type="spellStart"/>
      <w:r w:rsidR="00003D28" w:rsidRPr="00B14ED8">
        <w:rPr>
          <w:rFonts w:ascii="Times New Roman" w:eastAsia="Times New Roman" w:hAnsi="Times New Roman" w:cs="Times New Roman"/>
          <w:sz w:val="24"/>
          <w:szCs w:val="24"/>
        </w:rPr>
        <w:t>risiko</w:t>
      </w:r>
      <w:proofErr w:type="spellEnd"/>
      <w:r w:rsidR="00003D28" w:rsidRPr="00B14ED8">
        <w:rPr>
          <w:rFonts w:ascii="Times New Roman" w:eastAsia="Times New Roman" w:hAnsi="Times New Roman" w:cs="Times New Roman"/>
          <w:sz w:val="24"/>
          <w:szCs w:val="24"/>
        </w:rPr>
        <w:t xml:space="preserve"> </w:t>
      </w:r>
      <w:proofErr w:type="spellStart"/>
      <w:r w:rsidR="00837015" w:rsidRPr="00B14ED8">
        <w:rPr>
          <w:rFonts w:ascii="Times New Roman" w:eastAsia="Times New Roman" w:hAnsi="Times New Roman" w:cs="Times New Roman"/>
          <w:sz w:val="24"/>
          <w:szCs w:val="24"/>
        </w:rPr>
        <w:t>mampu</w:t>
      </w:r>
      <w:proofErr w:type="spellEnd"/>
      <w:r w:rsidR="00837015" w:rsidRPr="00B14ED8">
        <w:rPr>
          <w:rFonts w:ascii="Times New Roman" w:eastAsia="Times New Roman" w:hAnsi="Times New Roman" w:cs="Times New Roman"/>
          <w:sz w:val="24"/>
          <w:szCs w:val="24"/>
        </w:rPr>
        <w:t xml:space="preserve"> </w:t>
      </w:r>
      <w:proofErr w:type="spellStart"/>
      <w:r w:rsidR="003C3CB9" w:rsidRPr="00B14ED8">
        <w:rPr>
          <w:rFonts w:ascii="Times New Roman" w:eastAsia="Times New Roman" w:hAnsi="Times New Roman" w:cs="Times New Roman"/>
          <w:sz w:val="24"/>
          <w:szCs w:val="24"/>
        </w:rPr>
        <w:t>menur</w:t>
      </w:r>
      <w:r w:rsidR="00DC72D3" w:rsidRPr="00B14ED8">
        <w:rPr>
          <w:rFonts w:ascii="Times New Roman" w:eastAsia="Times New Roman" w:hAnsi="Times New Roman" w:cs="Times New Roman"/>
          <w:sz w:val="24"/>
          <w:szCs w:val="24"/>
        </w:rPr>
        <w:t>unkan</w:t>
      </w:r>
      <w:proofErr w:type="spellEnd"/>
      <w:r w:rsidR="00837015" w:rsidRPr="00B14ED8">
        <w:rPr>
          <w:rFonts w:ascii="Times New Roman" w:eastAsia="Times New Roman" w:hAnsi="Times New Roman" w:cs="Times New Roman"/>
          <w:sz w:val="24"/>
          <w:szCs w:val="24"/>
        </w:rPr>
        <w:t xml:space="preserve"> </w:t>
      </w:r>
      <w:proofErr w:type="spellStart"/>
      <w:r w:rsidR="00140671" w:rsidRPr="00B14ED8">
        <w:rPr>
          <w:rFonts w:ascii="Times New Roman" w:eastAsia="Times New Roman" w:hAnsi="Times New Roman" w:cs="Times New Roman"/>
          <w:sz w:val="24"/>
          <w:szCs w:val="24"/>
        </w:rPr>
        <w:t>risiko</w:t>
      </w:r>
      <w:proofErr w:type="spellEnd"/>
      <w:r w:rsidR="00140671" w:rsidRPr="00B14ED8">
        <w:rPr>
          <w:rFonts w:ascii="Times New Roman" w:eastAsia="Times New Roman" w:hAnsi="Times New Roman" w:cs="Times New Roman"/>
          <w:sz w:val="24"/>
          <w:szCs w:val="24"/>
        </w:rPr>
        <w:t xml:space="preserve"> </w:t>
      </w:r>
      <w:proofErr w:type="spellStart"/>
      <w:r w:rsidR="00837015" w:rsidRPr="00B14ED8">
        <w:rPr>
          <w:rFonts w:ascii="Times New Roman" w:eastAsia="Times New Roman" w:hAnsi="Times New Roman" w:cs="Times New Roman"/>
          <w:sz w:val="24"/>
          <w:szCs w:val="24"/>
        </w:rPr>
        <w:t>pembiayaan</w:t>
      </w:r>
      <w:proofErr w:type="spellEnd"/>
      <w:r w:rsidR="00837015" w:rsidRPr="00B14ED8">
        <w:rPr>
          <w:rFonts w:ascii="Times New Roman" w:eastAsia="Times New Roman" w:hAnsi="Times New Roman" w:cs="Times New Roman"/>
          <w:sz w:val="24"/>
          <w:szCs w:val="24"/>
        </w:rPr>
        <w:t xml:space="preserve"> PLS </w:t>
      </w:r>
      <w:proofErr w:type="spellStart"/>
      <w:r w:rsidR="00837015" w:rsidRPr="00B14ED8">
        <w:rPr>
          <w:rFonts w:ascii="Times New Roman" w:eastAsia="Times New Roman" w:hAnsi="Times New Roman" w:cs="Times New Roman"/>
          <w:sz w:val="24"/>
          <w:szCs w:val="24"/>
        </w:rPr>
        <w:t>termasuk</w:t>
      </w:r>
      <w:proofErr w:type="spellEnd"/>
      <w:r w:rsidR="00837015" w:rsidRPr="00B14ED8">
        <w:rPr>
          <w:rFonts w:ascii="Times New Roman" w:eastAsia="Times New Roman" w:hAnsi="Times New Roman" w:cs="Times New Roman"/>
          <w:sz w:val="24"/>
          <w:szCs w:val="24"/>
        </w:rPr>
        <w:t xml:space="preserve"> </w:t>
      </w:r>
      <w:proofErr w:type="spellStart"/>
      <w:r w:rsidR="00837015" w:rsidRPr="00B14ED8">
        <w:rPr>
          <w:rFonts w:ascii="Times New Roman" w:eastAsia="Times New Roman" w:hAnsi="Times New Roman" w:cs="Times New Roman"/>
          <w:i/>
          <w:iCs/>
          <w:sz w:val="24"/>
          <w:szCs w:val="24"/>
        </w:rPr>
        <w:t>musyarakah</w:t>
      </w:r>
      <w:proofErr w:type="spellEnd"/>
      <w:r w:rsidR="00837015" w:rsidRPr="00B14ED8">
        <w:rPr>
          <w:rFonts w:ascii="Times New Roman" w:eastAsia="Times New Roman" w:hAnsi="Times New Roman" w:cs="Times New Roman"/>
          <w:i/>
          <w:iCs/>
          <w:sz w:val="24"/>
          <w:szCs w:val="24"/>
        </w:rPr>
        <w:t xml:space="preserve"> </w:t>
      </w:r>
      <w:r w:rsidR="00D06AC5" w:rsidRPr="00B14ED8">
        <w:rPr>
          <w:rFonts w:ascii="Times New Roman" w:eastAsia="Times New Roman" w:hAnsi="Times New Roman" w:cs="Times New Roman"/>
          <w:sz w:val="24"/>
          <w:szCs w:val="24"/>
        </w:rPr>
        <w:t xml:space="preserve">di </w:t>
      </w:r>
      <w:proofErr w:type="spellStart"/>
      <w:r w:rsidR="00837015" w:rsidRPr="00B14ED8">
        <w:rPr>
          <w:rFonts w:ascii="Times New Roman" w:eastAsia="Times New Roman" w:hAnsi="Times New Roman" w:cs="Times New Roman"/>
          <w:sz w:val="24"/>
          <w:szCs w:val="24"/>
        </w:rPr>
        <w:t>dalam</w:t>
      </w:r>
      <w:proofErr w:type="spellEnd"/>
      <w:r w:rsidR="00837015" w:rsidRPr="00B14ED8">
        <w:rPr>
          <w:rFonts w:ascii="Times New Roman" w:eastAsia="Times New Roman" w:hAnsi="Times New Roman" w:cs="Times New Roman"/>
          <w:sz w:val="24"/>
          <w:szCs w:val="24"/>
        </w:rPr>
        <w:t xml:space="preserve"> </w:t>
      </w:r>
      <w:proofErr w:type="spellStart"/>
      <w:r w:rsidR="00837015" w:rsidRPr="00B14ED8">
        <w:rPr>
          <w:rFonts w:ascii="Times New Roman" w:eastAsia="Times New Roman" w:hAnsi="Times New Roman" w:cs="Times New Roman"/>
          <w:sz w:val="24"/>
          <w:szCs w:val="24"/>
        </w:rPr>
        <w:t>meningkatkan</w:t>
      </w:r>
      <w:proofErr w:type="spellEnd"/>
      <w:r w:rsidR="00837015" w:rsidRPr="00B14ED8">
        <w:rPr>
          <w:rFonts w:ascii="Times New Roman" w:eastAsia="Times New Roman" w:hAnsi="Times New Roman" w:cs="Times New Roman"/>
          <w:sz w:val="24"/>
          <w:szCs w:val="24"/>
        </w:rPr>
        <w:t xml:space="preserve"> </w:t>
      </w:r>
      <w:proofErr w:type="spellStart"/>
      <w:r w:rsidR="00837015" w:rsidRPr="00B14ED8">
        <w:rPr>
          <w:rFonts w:ascii="Times New Roman" w:eastAsia="Times New Roman" w:hAnsi="Times New Roman" w:cs="Times New Roman"/>
          <w:sz w:val="24"/>
          <w:szCs w:val="24"/>
        </w:rPr>
        <w:t>nilai</w:t>
      </w:r>
      <w:proofErr w:type="spellEnd"/>
      <w:r w:rsidR="00837015" w:rsidRPr="00B14ED8">
        <w:rPr>
          <w:rFonts w:ascii="Times New Roman" w:eastAsia="Times New Roman" w:hAnsi="Times New Roman" w:cs="Times New Roman"/>
          <w:sz w:val="24"/>
          <w:szCs w:val="24"/>
        </w:rPr>
        <w:t xml:space="preserve"> </w:t>
      </w:r>
      <w:proofErr w:type="spellStart"/>
      <w:r w:rsidR="00837015" w:rsidRPr="00B14ED8">
        <w:rPr>
          <w:rFonts w:ascii="Times New Roman" w:eastAsia="Times New Roman" w:hAnsi="Times New Roman" w:cs="Times New Roman"/>
          <w:sz w:val="24"/>
          <w:szCs w:val="24"/>
        </w:rPr>
        <w:t>kinerja</w:t>
      </w:r>
      <w:proofErr w:type="spellEnd"/>
      <w:r w:rsidR="00837015" w:rsidRPr="00B14ED8">
        <w:rPr>
          <w:rFonts w:ascii="Times New Roman" w:eastAsia="Times New Roman" w:hAnsi="Times New Roman" w:cs="Times New Roman"/>
          <w:sz w:val="24"/>
          <w:szCs w:val="24"/>
        </w:rPr>
        <w:t xml:space="preserve"> </w:t>
      </w:r>
      <w:proofErr w:type="spellStart"/>
      <w:r w:rsidR="00837015" w:rsidRPr="00B14ED8">
        <w:rPr>
          <w:rFonts w:ascii="Times New Roman" w:eastAsia="Times New Roman" w:hAnsi="Times New Roman" w:cs="Times New Roman"/>
          <w:sz w:val="24"/>
          <w:szCs w:val="24"/>
        </w:rPr>
        <w:t>keuangan</w:t>
      </w:r>
      <w:proofErr w:type="spellEnd"/>
      <w:r w:rsidR="00837015" w:rsidRPr="00B14ED8">
        <w:rPr>
          <w:rFonts w:ascii="Times New Roman" w:eastAsia="Times New Roman" w:hAnsi="Times New Roman" w:cs="Times New Roman"/>
          <w:sz w:val="24"/>
          <w:szCs w:val="24"/>
        </w:rPr>
        <w:t xml:space="preserve">. </w:t>
      </w:r>
      <w:proofErr w:type="spellStart"/>
      <w:r w:rsidR="00431A42" w:rsidRPr="00B14ED8">
        <w:rPr>
          <w:rFonts w:ascii="Times New Roman" w:eastAsia="Times New Roman" w:hAnsi="Times New Roman" w:cs="Times New Roman"/>
          <w:sz w:val="24"/>
          <w:szCs w:val="24"/>
        </w:rPr>
        <w:t>S</w:t>
      </w:r>
      <w:r w:rsidR="00673E40" w:rsidRPr="00B14ED8">
        <w:rPr>
          <w:rFonts w:ascii="Times New Roman" w:eastAsia="Times New Roman" w:hAnsi="Times New Roman" w:cs="Times New Roman"/>
          <w:sz w:val="24"/>
          <w:szCs w:val="24"/>
        </w:rPr>
        <w:t>istem</w:t>
      </w:r>
      <w:proofErr w:type="spellEnd"/>
      <w:r w:rsidR="00673E40" w:rsidRPr="00B14ED8">
        <w:rPr>
          <w:rFonts w:ascii="Times New Roman" w:eastAsia="Times New Roman" w:hAnsi="Times New Roman" w:cs="Times New Roman"/>
          <w:sz w:val="24"/>
          <w:szCs w:val="24"/>
        </w:rPr>
        <w:t xml:space="preserve"> </w:t>
      </w:r>
      <w:proofErr w:type="spellStart"/>
      <w:r w:rsidR="00673E40" w:rsidRPr="00B14ED8">
        <w:rPr>
          <w:rFonts w:ascii="Times New Roman" w:eastAsia="Times New Roman" w:hAnsi="Times New Roman" w:cs="Times New Roman"/>
          <w:sz w:val="24"/>
          <w:szCs w:val="24"/>
        </w:rPr>
        <w:t>manajemen</w:t>
      </w:r>
      <w:proofErr w:type="spellEnd"/>
      <w:r w:rsidR="00673E40" w:rsidRPr="00B14ED8">
        <w:rPr>
          <w:rFonts w:ascii="Times New Roman" w:eastAsia="Times New Roman" w:hAnsi="Times New Roman" w:cs="Times New Roman"/>
          <w:sz w:val="24"/>
          <w:szCs w:val="24"/>
        </w:rPr>
        <w:t xml:space="preserve"> </w:t>
      </w:r>
      <w:proofErr w:type="spellStart"/>
      <w:r w:rsidR="00673E40" w:rsidRPr="00B14ED8">
        <w:rPr>
          <w:rFonts w:ascii="Times New Roman" w:eastAsia="Times New Roman" w:hAnsi="Times New Roman" w:cs="Times New Roman"/>
          <w:sz w:val="24"/>
          <w:szCs w:val="24"/>
        </w:rPr>
        <w:t>risiko</w:t>
      </w:r>
      <w:proofErr w:type="spellEnd"/>
      <w:r w:rsidR="00673E40" w:rsidRPr="00B14ED8">
        <w:rPr>
          <w:rFonts w:ascii="Times New Roman" w:eastAsia="Times New Roman" w:hAnsi="Times New Roman" w:cs="Times New Roman"/>
          <w:sz w:val="24"/>
          <w:szCs w:val="24"/>
        </w:rPr>
        <w:t xml:space="preserve"> yang </w:t>
      </w:r>
      <w:proofErr w:type="spellStart"/>
      <w:r w:rsidR="00673E40" w:rsidRPr="00B14ED8">
        <w:rPr>
          <w:rFonts w:ascii="Times New Roman" w:eastAsia="Times New Roman" w:hAnsi="Times New Roman" w:cs="Times New Roman"/>
          <w:sz w:val="24"/>
          <w:szCs w:val="24"/>
        </w:rPr>
        <w:t>baik</w:t>
      </w:r>
      <w:proofErr w:type="spellEnd"/>
      <w:r w:rsidR="00673E40" w:rsidRPr="00B14ED8">
        <w:rPr>
          <w:rFonts w:ascii="Times New Roman" w:eastAsia="Times New Roman" w:hAnsi="Times New Roman" w:cs="Times New Roman"/>
          <w:sz w:val="24"/>
          <w:szCs w:val="24"/>
        </w:rPr>
        <w:t xml:space="preserve"> di </w:t>
      </w:r>
      <w:proofErr w:type="spellStart"/>
      <w:r w:rsidR="00673E40" w:rsidRPr="00B14ED8">
        <w:rPr>
          <w:rFonts w:ascii="Times New Roman" w:eastAsia="Times New Roman" w:hAnsi="Times New Roman" w:cs="Times New Roman"/>
          <w:sz w:val="24"/>
          <w:szCs w:val="24"/>
        </w:rPr>
        <w:t>dalam</w:t>
      </w:r>
      <w:proofErr w:type="spellEnd"/>
      <w:r w:rsidR="00673E40" w:rsidRPr="00B14ED8">
        <w:rPr>
          <w:rFonts w:ascii="Times New Roman" w:eastAsia="Times New Roman" w:hAnsi="Times New Roman" w:cs="Times New Roman"/>
          <w:sz w:val="24"/>
          <w:szCs w:val="24"/>
        </w:rPr>
        <w:t xml:space="preserve"> </w:t>
      </w:r>
      <w:proofErr w:type="spellStart"/>
      <w:r w:rsidR="00023107" w:rsidRPr="00B14ED8">
        <w:rPr>
          <w:rFonts w:ascii="Times New Roman" w:eastAsia="Times New Roman" w:hAnsi="Times New Roman" w:cs="Times New Roman"/>
          <w:sz w:val="24"/>
          <w:szCs w:val="24"/>
        </w:rPr>
        <w:t>pembiayaan</w:t>
      </w:r>
      <w:proofErr w:type="spellEnd"/>
      <w:r w:rsidR="00023107" w:rsidRPr="00B14ED8">
        <w:rPr>
          <w:rFonts w:ascii="Times New Roman" w:eastAsia="Times New Roman" w:hAnsi="Times New Roman" w:cs="Times New Roman"/>
          <w:sz w:val="24"/>
          <w:szCs w:val="24"/>
        </w:rPr>
        <w:t xml:space="preserve"> </w:t>
      </w:r>
      <w:proofErr w:type="spellStart"/>
      <w:r w:rsidR="00023107" w:rsidRPr="00B14ED8">
        <w:rPr>
          <w:rFonts w:ascii="Times New Roman" w:eastAsia="Times New Roman" w:hAnsi="Times New Roman" w:cs="Times New Roman"/>
          <w:i/>
          <w:iCs/>
          <w:sz w:val="24"/>
          <w:szCs w:val="24"/>
        </w:rPr>
        <w:t>musyarakah</w:t>
      </w:r>
      <w:proofErr w:type="spellEnd"/>
      <w:r w:rsidR="00023107" w:rsidRPr="00B14ED8">
        <w:rPr>
          <w:rFonts w:ascii="Times New Roman" w:eastAsia="Times New Roman" w:hAnsi="Times New Roman" w:cs="Times New Roman"/>
          <w:i/>
          <w:iCs/>
          <w:sz w:val="24"/>
          <w:szCs w:val="24"/>
        </w:rPr>
        <w:t xml:space="preserve"> </w:t>
      </w:r>
      <w:proofErr w:type="spellStart"/>
      <w:r w:rsidR="00023107" w:rsidRPr="00B14ED8">
        <w:rPr>
          <w:rFonts w:ascii="Times New Roman" w:eastAsia="Times New Roman" w:hAnsi="Times New Roman" w:cs="Times New Roman"/>
          <w:sz w:val="24"/>
          <w:szCs w:val="24"/>
        </w:rPr>
        <w:t>dapat</w:t>
      </w:r>
      <w:proofErr w:type="spellEnd"/>
      <w:r w:rsidR="00023107" w:rsidRPr="00B14ED8">
        <w:rPr>
          <w:rFonts w:ascii="Times New Roman" w:eastAsia="Times New Roman" w:hAnsi="Times New Roman" w:cs="Times New Roman"/>
          <w:sz w:val="24"/>
          <w:szCs w:val="24"/>
        </w:rPr>
        <w:t xml:space="preserve"> </w:t>
      </w:r>
      <w:proofErr w:type="spellStart"/>
      <w:r w:rsidR="00390DE5" w:rsidRPr="00B14ED8">
        <w:rPr>
          <w:rFonts w:ascii="Times New Roman" w:eastAsia="Times New Roman" w:hAnsi="Times New Roman" w:cs="Times New Roman"/>
          <w:sz w:val="24"/>
          <w:szCs w:val="24"/>
        </w:rPr>
        <w:t>menghasilkan</w:t>
      </w:r>
      <w:proofErr w:type="spellEnd"/>
      <w:r w:rsidR="00390DE5" w:rsidRPr="00B14ED8">
        <w:rPr>
          <w:rFonts w:ascii="Times New Roman" w:eastAsia="Times New Roman" w:hAnsi="Times New Roman" w:cs="Times New Roman"/>
          <w:sz w:val="24"/>
          <w:szCs w:val="24"/>
        </w:rPr>
        <w:t xml:space="preserve"> </w:t>
      </w:r>
      <w:proofErr w:type="spellStart"/>
      <w:r w:rsidR="00390DE5" w:rsidRPr="00B14ED8">
        <w:rPr>
          <w:rFonts w:ascii="Times New Roman" w:eastAsia="Times New Roman" w:hAnsi="Times New Roman" w:cs="Times New Roman"/>
          <w:sz w:val="24"/>
          <w:szCs w:val="24"/>
        </w:rPr>
        <w:t>pola</w:t>
      </w:r>
      <w:proofErr w:type="spellEnd"/>
      <w:r w:rsidR="00390DE5" w:rsidRPr="00B14ED8">
        <w:rPr>
          <w:rFonts w:ascii="Times New Roman" w:eastAsia="Times New Roman" w:hAnsi="Times New Roman" w:cs="Times New Roman"/>
          <w:sz w:val="24"/>
          <w:szCs w:val="24"/>
        </w:rPr>
        <w:t xml:space="preserve"> </w:t>
      </w:r>
      <w:r w:rsidR="00390DE5" w:rsidRPr="00B14ED8">
        <w:rPr>
          <w:rFonts w:ascii="Times New Roman" w:eastAsia="Times New Roman" w:hAnsi="Times New Roman" w:cs="Times New Roman"/>
          <w:i/>
          <w:iCs/>
          <w:sz w:val="24"/>
          <w:szCs w:val="24"/>
        </w:rPr>
        <w:t xml:space="preserve">corporate governance </w:t>
      </w:r>
      <w:r w:rsidR="00390DE5" w:rsidRPr="00B14ED8">
        <w:rPr>
          <w:rFonts w:ascii="Times New Roman" w:eastAsia="Times New Roman" w:hAnsi="Times New Roman" w:cs="Times New Roman"/>
          <w:sz w:val="24"/>
          <w:szCs w:val="24"/>
        </w:rPr>
        <w:t xml:space="preserve">yang </w:t>
      </w:r>
      <w:proofErr w:type="spellStart"/>
      <w:r w:rsidR="00390DE5" w:rsidRPr="00B14ED8">
        <w:rPr>
          <w:rFonts w:ascii="Times New Roman" w:eastAsia="Times New Roman" w:hAnsi="Times New Roman" w:cs="Times New Roman"/>
          <w:sz w:val="24"/>
          <w:szCs w:val="24"/>
        </w:rPr>
        <w:t>baik</w:t>
      </w:r>
      <w:proofErr w:type="spellEnd"/>
      <w:r w:rsidR="00390DE5" w:rsidRPr="00B14ED8">
        <w:rPr>
          <w:rFonts w:ascii="Times New Roman" w:eastAsia="Times New Roman" w:hAnsi="Times New Roman" w:cs="Times New Roman"/>
          <w:sz w:val="24"/>
          <w:szCs w:val="24"/>
        </w:rPr>
        <w:t xml:space="preserve"> </w:t>
      </w:r>
      <w:proofErr w:type="spellStart"/>
      <w:r w:rsidR="00390DE5" w:rsidRPr="00B14ED8">
        <w:rPr>
          <w:rFonts w:ascii="Times New Roman" w:eastAsia="Times New Roman" w:hAnsi="Times New Roman" w:cs="Times New Roman"/>
          <w:sz w:val="24"/>
          <w:szCs w:val="24"/>
        </w:rPr>
        <w:t>antara</w:t>
      </w:r>
      <w:proofErr w:type="spellEnd"/>
      <w:r w:rsidR="00390DE5" w:rsidRPr="00B14ED8">
        <w:rPr>
          <w:rFonts w:ascii="Times New Roman" w:eastAsia="Times New Roman" w:hAnsi="Times New Roman" w:cs="Times New Roman"/>
          <w:sz w:val="24"/>
          <w:szCs w:val="24"/>
        </w:rPr>
        <w:t xml:space="preserve"> </w:t>
      </w:r>
      <w:proofErr w:type="spellStart"/>
      <w:r w:rsidR="00390DE5" w:rsidRPr="00B14ED8">
        <w:rPr>
          <w:rFonts w:ascii="Times New Roman" w:eastAsia="Times New Roman" w:hAnsi="Times New Roman" w:cs="Times New Roman"/>
          <w:sz w:val="24"/>
          <w:szCs w:val="24"/>
        </w:rPr>
        <w:t>pihak</w:t>
      </w:r>
      <w:proofErr w:type="spellEnd"/>
      <w:r w:rsidR="00390DE5" w:rsidRPr="00B14ED8">
        <w:rPr>
          <w:rFonts w:ascii="Times New Roman" w:eastAsia="Times New Roman" w:hAnsi="Times New Roman" w:cs="Times New Roman"/>
          <w:sz w:val="24"/>
          <w:szCs w:val="24"/>
        </w:rPr>
        <w:t xml:space="preserve"> </w:t>
      </w:r>
      <w:proofErr w:type="spellStart"/>
      <w:r w:rsidR="00390DE5" w:rsidRPr="00B14ED8">
        <w:rPr>
          <w:rFonts w:ascii="Times New Roman" w:eastAsia="Times New Roman" w:hAnsi="Times New Roman" w:cs="Times New Roman"/>
          <w:sz w:val="24"/>
          <w:szCs w:val="24"/>
        </w:rPr>
        <w:t>perbankan</w:t>
      </w:r>
      <w:proofErr w:type="spellEnd"/>
      <w:r w:rsidR="00390DE5" w:rsidRPr="00B14ED8">
        <w:rPr>
          <w:rFonts w:ascii="Times New Roman" w:eastAsia="Times New Roman" w:hAnsi="Times New Roman" w:cs="Times New Roman"/>
          <w:sz w:val="24"/>
          <w:szCs w:val="24"/>
        </w:rPr>
        <w:t xml:space="preserve"> </w:t>
      </w:r>
      <w:proofErr w:type="spellStart"/>
      <w:r w:rsidR="00390DE5" w:rsidRPr="00B14ED8">
        <w:rPr>
          <w:rFonts w:ascii="Times New Roman" w:eastAsia="Times New Roman" w:hAnsi="Times New Roman" w:cs="Times New Roman"/>
          <w:sz w:val="24"/>
          <w:szCs w:val="24"/>
        </w:rPr>
        <w:t>maupun</w:t>
      </w:r>
      <w:proofErr w:type="spellEnd"/>
      <w:r w:rsidR="00390DE5" w:rsidRPr="00B14ED8">
        <w:rPr>
          <w:rFonts w:ascii="Times New Roman" w:eastAsia="Times New Roman" w:hAnsi="Times New Roman" w:cs="Times New Roman"/>
          <w:sz w:val="24"/>
          <w:szCs w:val="24"/>
        </w:rPr>
        <w:t xml:space="preserve"> </w:t>
      </w:r>
      <w:proofErr w:type="spellStart"/>
      <w:r w:rsidR="007C4F28" w:rsidRPr="00B14ED8">
        <w:rPr>
          <w:rFonts w:ascii="Times New Roman" w:eastAsia="Times New Roman" w:hAnsi="Times New Roman" w:cs="Times New Roman"/>
          <w:i/>
          <w:iCs/>
          <w:sz w:val="24"/>
          <w:szCs w:val="24"/>
        </w:rPr>
        <w:t>mudarib</w:t>
      </w:r>
      <w:proofErr w:type="spellEnd"/>
      <w:r w:rsidR="00390DE5" w:rsidRPr="00B14ED8">
        <w:rPr>
          <w:rFonts w:ascii="Times New Roman" w:eastAsia="Times New Roman" w:hAnsi="Times New Roman" w:cs="Times New Roman"/>
          <w:sz w:val="24"/>
          <w:szCs w:val="24"/>
        </w:rPr>
        <w:t xml:space="preserve"> </w:t>
      </w:r>
      <w:proofErr w:type="spellStart"/>
      <w:r w:rsidR="00390DE5" w:rsidRPr="00B14ED8">
        <w:rPr>
          <w:rFonts w:ascii="Times New Roman" w:eastAsia="Times New Roman" w:hAnsi="Times New Roman" w:cs="Times New Roman"/>
          <w:sz w:val="24"/>
          <w:szCs w:val="24"/>
        </w:rPr>
        <w:t>sehingga</w:t>
      </w:r>
      <w:proofErr w:type="spellEnd"/>
      <w:r w:rsidR="00390DE5" w:rsidRPr="00B14ED8">
        <w:rPr>
          <w:rFonts w:ascii="Times New Roman" w:eastAsia="Times New Roman" w:hAnsi="Times New Roman" w:cs="Times New Roman"/>
          <w:sz w:val="24"/>
          <w:szCs w:val="24"/>
        </w:rPr>
        <w:t xml:space="preserve"> </w:t>
      </w:r>
      <w:proofErr w:type="spellStart"/>
      <w:r w:rsidR="00390DE5" w:rsidRPr="00B14ED8">
        <w:rPr>
          <w:rFonts w:ascii="Times New Roman" w:eastAsia="Times New Roman" w:hAnsi="Times New Roman" w:cs="Times New Roman"/>
          <w:sz w:val="24"/>
          <w:szCs w:val="24"/>
        </w:rPr>
        <w:t>akan</w:t>
      </w:r>
      <w:proofErr w:type="spellEnd"/>
      <w:r w:rsidR="00390DE5" w:rsidRPr="00B14ED8">
        <w:rPr>
          <w:rFonts w:ascii="Times New Roman" w:eastAsia="Times New Roman" w:hAnsi="Times New Roman" w:cs="Times New Roman"/>
          <w:sz w:val="24"/>
          <w:szCs w:val="24"/>
        </w:rPr>
        <w:t xml:space="preserve"> </w:t>
      </w:r>
      <w:proofErr w:type="spellStart"/>
      <w:r w:rsidR="00390DE5" w:rsidRPr="00B14ED8">
        <w:rPr>
          <w:rFonts w:ascii="Times New Roman" w:eastAsia="Times New Roman" w:hAnsi="Times New Roman" w:cs="Times New Roman"/>
          <w:sz w:val="24"/>
          <w:szCs w:val="24"/>
        </w:rPr>
        <w:t>mendorong</w:t>
      </w:r>
      <w:proofErr w:type="spellEnd"/>
      <w:r w:rsidR="00BB689D" w:rsidRPr="00B14ED8">
        <w:rPr>
          <w:rFonts w:ascii="Times New Roman" w:eastAsia="Times New Roman" w:hAnsi="Times New Roman" w:cs="Times New Roman"/>
          <w:sz w:val="24"/>
          <w:szCs w:val="24"/>
        </w:rPr>
        <w:t xml:space="preserve"> </w:t>
      </w:r>
      <w:proofErr w:type="spellStart"/>
      <w:r w:rsidR="00BB689D" w:rsidRPr="00B14ED8">
        <w:rPr>
          <w:rFonts w:ascii="Times New Roman" w:eastAsia="Times New Roman" w:hAnsi="Times New Roman" w:cs="Times New Roman"/>
          <w:sz w:val="24"/>
          <w:szCs w:val="24"/>
        </w:rPr>
        <w:t>kerja</w:t>
      </w:r>
      <w:proofErr w:type="spellEnd"/>
      <w:r w:rsidR="00BB689D" w:rsidRPr="00B14ED8">
        <w:rPr>
          <w:rFonts w:ascii="Times New Roman" w:eastAsia="Times New Roman" w:hAnsi="Times New Roman" w:cs="Times New Roman"/>
          <w:sz w:val="24"/>
          <w:szCs w:val="24"/>
        </w:rPr>
        <w:t xml:space="preserve"> </w:t>
      </w:r>
      <w:proofErr w:type="spellStart"/>
      <w:r w:rsidR="00BB689D" w:rsidRPr="00B14ED8">
        <w:rPr>
          <w:rFonts w:ascii="Times New Roman" w:eastAsia="Times New Roman" w:hAnsi="Times New Roman" w:cs="Times New Roman"/>
          <w:sz w:val="24"/>
          <w:szCs w:val="24"/>
        </w:rPr>
        <w:t>sama</w:t>
      </w:r>
      <w:proofErr w:type="spellEnd"/>
      <w:r w:rsidR="00BB689D" w:rsidRPr="00B14ED8">
        <w:rPr>
          <w:rFonts w:ascii="Times New Roman" w:eastAsia="Times New Roman" w:hAnsi="Times New Roman" w:cs="Times New Roman"/>
          <w:sz w:val="24"/>
          <w:szCs w:val="24"/>
        </w:rPr>
        <w:t xml:space="preserve"> </w:t>
      </w:r>
      <w:proofErr w:type="spellStart"/>
      <w:r w:rsidR="00BB689D" w:rsidRPr="00B14ED8">
        <w:rPr>
          <w:rFonts w:ascii="Times New Roman" w:eastAsia="Times New Roman" w:hAnsi="Times New Roman" w:cs="Times New Roman"/>
          <w:sz w:val="24"/>
          <w:szCs w:val="24"/>
        </w:rPr>
        <w:t>bisnis</w:t>
      </w:r>
      <w:proofErr w:type="spellEnd"/>
      <w:r w:rsidR="00BB689D" w:rsidRPr="00B14ED8">
        <w:rPr>
          <w:rFonts w:ascii="Times New Roman" w:eastAsia="Times New Roman" w:hAnsi="Times New Roman" w:cs="Times New Roman"/>
          <w:sz w:val="24"/>
          <w:szCs w:val="24"/>
        </w:rPr>
        <w:t xml:space="preserve"> yang </w:t>
      </w:r>
      <w:proofErr w:type="spellStart"/>
      <w:r w:rsidR="00BB689D" w:rsidRPr="00B14ED8">
        <w:rPr>
          <w:rFonts w:ascii="Times New Roman" w:eastAsia="Times New Roman" w:hAnsi="Times New Roman" w:cs="Times New Roman"/>
          <w:sz w:val="24"/>
          <w:szCs w:val="24"/>
        </w:rPr>
        <w:t>baik</w:t>
      </w:r>
      <w:proofErr w:type="spellEnd"/>
      <w:r w:rsidR="009471FB" w:rsidRPr="00B14ED8">
        <w:rPr>
          <w:rFonts w:ascii="Times New Roman" w:eastAsia="Times New Roman" w:hAnsi="Times New Roman" w:cs="Times New Roman"/>
          <w:sz w:val="24"/>
          <w:szCs w:val="24"/>
        </w:rPr>
        <w:t xml:space="preserve">. Hal </w:t>
      </w:r>
      <w:proofErr w:type="spellStart"/>
      <w:r w:rsidR="009471FB" w:rsidRPr="00B14ED8">
        <w:rPr>
          <w:rFonts w:ascii="Times New Roman" w:eastAsia="Times New Roman" w:hAnsi="Times New Roman" w:cs="Times New Roman"/>
          <w:sz w:val="24"/>
          <w:szCs w:val="24"/>
        </w:rPr>
        <w:t>tersebut</w:t>
      </w:r>
      <w:proofErr w:type="spellEnd"/>
      <w:r w:rsidR="00BB689D" w:rsidRPr="00B14ED8">
        <w:rPr>
          <w:rFonts w:ascii="Times New Roman" w:eastAsia="Times New Roman" w:hAnsi="Times New Roman" w:cs="Times New Roman"/>
          <w:sz w:val="24"/>
          <w:szCs w:val="24"/>
        </w:rPr>
        <w:t xml:space="preserve"> </w:t>
      </w:r>
      <w:proofErr w:type="spellStart"/>
      <w:r w:rsidR="00BB689D" w:rsidRPr="00B14ED8">
        <w:rPr>
          <w:rFonts w:ascii="Times New Roman" w:eastAsia="Times New Roman" w:hAnsi="Times New Roman" w:cs="Times New Roman"/>
          <w:sz w:val="24"/>
          <w:szCs w:val="24"/>
        </w:rPr>
        <w:t>kemudian</w:t>
      </w:r>
      <w:proofErr w:type="spellEnd"/>
      <w:r w:rsidR="00BB689D" w:rsidRPr="00B14ED8">
        <w:rPr>
          <w:rFonts w:ascii="Times New Roman" w:eastAsia="Times New Roman" w:hAnsi="Times New Roman" w:cs="Times New Roman"/>
          <w:sz w:val="24"/>
          <w:szCs w:val="24"/>
        </w:rPr>
        <w:t xml:space="preserve"> </w:t>
      </w:r>
      <w:proofErr w:type="spellStart"/>
      <w:r w:rsidR="00BB689D" w:rsidRPr="00B14ED8">
        <w:rPr>
          <w:rFonts w:ascii="Times New Roman" w:eastAsia="Times New Roman" w:hAnsi="Times New Roman" w:cs="Times New Roman"/>
          <w:sz w:val="24"/>
          <w:szCs w:val="24"/>
        </w:rPr>
        <w:t>berdampak</w:t>
      </w:r>
      <w:proofErr w:type="spellEnd"/>
      <w:r w:rsidR="00BB689D" w:rsidRPr="00B14ED8">
        <w:rPr>
          <w:rFonts w:ascii="Times New Roman" w:eastAsia="Times New Roman" w:hAnsi="Times New Roman" w:cs="Times New Roman"/>
          <w:sz w:val="24"/>
          <w:szCs w:val="24"/>
        </w:rPr>
        <w:t xml:space="preserve"> pada </w:t>
      </w:r>
      <w:proofErr w:type="spellStart"/>
      <w:r w:rsidR="00B43141" w:rsidRPr="00B14ED8">
        <w:rPr>
          <w:rFonts w:ascii="Times New Roman" w:eastAsia="Times New Roman" w:hAnsi="Times New Roman" w:cs="Times New Roman"/>
          <w:sz w:val="24"/>
          <w:szCs w:val="24"/>
        </w:rPr>
        <w:t>semakin</w:t>
      </w:r>
      <w:proofErr w:type="spellEnd"/>
      <w:r w:rsidR="00B43141" w:rsidRPr="00B14ED8">
        <w:rPr>
          <w:rFonts w:ascii="Times New Roman" w:eastAsia="Times New Roman" w:hAnsi="Times New Roman" w:cs="Times New Roman"/>
          <w:sz w:val="24"/>
          <w:szCs w:val="24"/>
        </w:rPr>
        <w:t xml:space="preserve"> </w:t>
      </w:r>
      <w:proofErr w:type="spellStart"/>
      <w:r w:rsidR="004742A7" w:rsidRPr="00B14ED8">
        <w:rPr>
          <w:rFonts w:ascii="Times New Roman" w:eastAsia="Times New Roman" w:hAnsi="Times New Roman" w:cs="Times New Roman"/>
          <w:sz w:val="24"/>
          <w:szCs w:val="24"/>
        </w:rPr>
        <w:t>besarnya</w:t>
      </w:r>
      <w:proofErr w:type="spellEnd"/>
      <w:r w:rsidR="004742A7" w:rsidRPr="00B14ED8">
        <w:rPr>
          <w:rFonts w:ascii="Times New Roman" w:eastAsia="Times New Roman" w:hAnsi="Times New Roman" w:cs="Times New Roman"/>
          <w:sz w:val="24"/>
          <w:szCs w:val="24"/>
        </w:rPr>
        <w:t xml:space="preserve"> </w:t>
      </w:r>
      <w:proofErr w:type="spellStart"/>
      <w:r w:rsidR="00B43141" w:rsidRPr="00B14ED8">
        <w:rPr>
          <w:rFonts w:ascii="Times New Roman" w:eastAsia="Times New Roman" w:hAnsi="Times New Roman" w:cs="Times New Roman"/>
          <w:sz w:val="24"/>
          <w:szCs w:val="24"/>
        </w:rPr>
        <w:t>pengaruh</w:t>
      </w:r>
      <w:proofErr w:type="spellEnd"/>
      <w:r w:rsidR="00B43141" w:rsidRPr="00B14ED8">
        <w:rPr>
          <w:rFonts w:ascii="Times New Roman" w:eastAsia="Times New Roman" w:hAnsi="Times New Roman" w:cs="Times New Roman"/>
          <w:sz w:val="24"/>
          <w:szCs w:val="24"/>
        </w:rPr>
        <w:t xml:space="preserve"> </w:t>
      </w:r>
      <w:proofErr w:type="spellStart"/>
      <w:r w:rsidR="00B43141" w:rsidRPr="00B14ED8">
        <w:rPr>
          <w:rFonts w:ascii="Times New Roman" w:eastAsia="Times New Roman" w:hAnsi="Times New Roman" w:cs="Times New Roman"/>
          <w:sz w:val="24"/>
          <w:szCs w:val="24"/>
        </w:rPr>
        <w:t>positif</w:t>
      </w:r>
      <w:proofErr w:type="spellEnd"/>
      <w:r w:rsidR="00B43141" w:rsidRPr="00B14ED8">
        <w:rPr>
          <w:rFonts w:ascii="Times New Roman" w:eastAsia="Times New Roman" w:hAnsi="Times New Roman" w:cs="Times New Roman"/>
          <w:sz w:val="24"/>
          <w:szCs w:val="24"/>
        </w:rPr>
        <w:t xml:space="preserve"> </w:t>
      </w:r>
      <w:proofErr w:type="spellStart"/>
      <w:r w:rsidR="00B43141" w:rsidRPr="00B14ED8">
        <w:rPr>
          <w:rFonts w:ascii="Times New Roman" w:eastAsia="Times New Roman" w:hAnsi="Times New Roman" w:cs="Times New Roman"/>
          <w:sz w:val="24"/>
          <w:szCs w:val="24"/>
        </w:rPr>
        <w:t>pembiayaan</w:t>
      </w:r>
      <w:proofErr w:type="spellEnd"/>
      <w:r w:rsidR="00B43141" w:rsidRPr="00B14ED8">
        <w:rPr>
          <w:rFonts w:ascii="Times New Roman" w:eastAsia="Times New Roman" w:hAnsi="Times New Roman" w:cs="Times New Roman"/>
          <w:sz w:val="24"/>
          <w:szCs w:val="24"/>
        </w:rPr>
        <w:t xml:space="preserve"> </w:t>
      </w:r>
      <w:proofErr w:type="spellStart"/>
      <w:r w:rsidR="00B43141" w:rsidRPr="00B14ED8">
        <w:rPr>
          <w:rFonts w:ascii="Times New Roman" w:eastAsia="Times New Roman" w:hAnsi="Times New Roman" w:cs="Times New Roman"/>
          <w:i/>
          <w:iCs/>
          <w:sz w:val="24"/>
          <w:szCs w:val="24"/>
        </w:rPr>
        <w:t>musyarakah</w:t>
      </w:r>
      <w:proofErr w:type="spellEnd"/>
      <w:r w:rsidR="00B43141" w:rsidRPr="00B14ED8">
        <w:rPr>
          <w:rFonts w:ascii="Times New Roman" w:eastAsia="Times New Roman" w:hAnsi="Times New Roman" w:cs="Times New Roman"/>
          <w:i/>
          <w:iCs/>
          <w:sz w:val="24"/>
          <w:szCs w:val="24"/>
        </w:rPr>
        <w:t xml:space="preserve"> </w:t>
      </w:r>
      <w:proofErr w:type="spellStart"/>
      <w:r w:rsidR="00B43141" w:rsidRPr="00B14ED8">
        <w:rPr>
          <w:rFonts w:ascii="Times New Roman" w:eastAsia="Times New Roman" w:hAnsi="Times New Roman" w:cs="Times New Roman"/>
          <w:sz w:val="24"/>
          <w:szCs w:val="24"/>
        </w:rPr>
        <w:t>terhadap</w:t>
      </w:r>
      <w:proofErr w:type="spellEnd"/>
      <w:r w:rsidR="00B43141" w:rsidRPr="00B14ED8">
        <w:rPr>
          <w:rFonts w:ascii="Times New Roman" w:eastAsia="Times New Roman" w:hAnsi="Times New Roman" w:cs="Times New Roman"/>
          <w:sz w:val="24"/>
          <w:szCs w:val="24"/>
        </w:rPr>
        <w:t xml:space="preserve"> </w:t>
      </w:r>
      <w:proofErr w:type="spellStart"/>
      <w:r w:rsidR="00E12290" w:rsidRPr="00B14ED8">
        <w:rPr>
          <w:rFonts w:ascii="Times New Roman" w:eastAsia="Times New Roman" w:hAnsi="Times New Roman" w:cs="Times New Roman"/>
          <w:sz w:val="24"/>
          <w:szCs w:val="24"/>
        </w:rPr>
        <w:t>kinerja</w:t>
      </w:r>
      <w:proofErr w:type="spellEnd"/>
      <w:r w:rsidR="00E12290" w:rsidRPr="00B14ED8">
        <w:rPr>
          <w:rFonts w:ascii="Times New Roman" w:eastAsia="Times New Roman" w:hAnsi="Times New Roman" w:cs="Times New Roman"/>
          <w:sz w:val="24"/>
          <w:szCs w:val="24"/>
        </w:rPr>
        <w:t xml:space="preserve"> </w:t>
      </w:r>
      <w:proofErr w:type="spellStart"/>
      <w:r w:rsidR="00E12290" w:rsidRPr="00B14ED8">
        <w:rPr>
          <w:rFonts w:ascii="Times New Roman" w:eastAsia="Times New Roman" w:hAnsi="Times New Roman" w:cs="Times New Roman"/>
          <w:sz w:val="24"/>
          <w:szCs w:val="24"/>
        </w:rPr>
        <w:t>keuangan</w:t>
      </w:r>
      <w:proofErr w:type="spellEnd"/>
      <w:r w:rsidR="00E12290" w:rsidRPr="00B14ED8">
        <w:rPr>
          <w:rFonts w:ascii="Times New Roman" w:eastAsia="Times New Roman" w:hAnsi="Times New Roman" w:cs="Times New Roman"/>
          <w:sz w:val="24"/>
          <w:szCs w:val="24"/>
        </w:rPr>
        <w:t xml:space="preserve"> yang </w:t>
      </w:r>
      <w:proofErr w:type="spellStart"/>
      <w:r w:rsidR="00E12290" w:rsidRPr="00B14ED8">
        <w:rPr>
          <w:rFonts w:ascii="Times New Roman" w:eastAsia="Times New Roman" w:hAnsi="Times New Roman" w:cs="Times New Roman"/>
          <w:sz w:val="24"/>
          <w:szCs w:val="24"/>
        </w:rPr>
        <w:t>dihasilkan</w:t>
      </w:r>
      <w:proofErr w:type="spellEnd"/>
      <w:r w:rsidR="00E3781F" w:rsidRPr="00B14ED8">
        <w:rPr>
          <w:rFonts w:ascii="Times New Roman" w:eastAsia="Times New Roman" w:hAnsi="Times New Roman" w:cs="Times New Roman"/>
          <w:sz w:val="24"/>
          <w:szCs w:val="24"/>
        </w:rPr>
        <w:t>.</w:t>
      </w:r>
      <w:r w:rsidR="00DE71F1" w:rsidRPr="00B14ED8">
        <w:rPr>
          <w:rFonts w:ascii="Times New Roman" w:eastAsia="Times New Roman" w:hAnsi="Times New Roman" w:cs="Times New Roman"/>
          <w:sz w:val="24"/>
          <w:szCs w:val="24"/>
        </w:rPr>
        <w:t xml:space="preserve"> </w:t>
      </w:r>
      <w:proofErr w:type="spellStart"/>
      <w:r w:rsidR="00DE71F1" w:rsidRPr="00B14ED8">
        <w:rPr>
          <w:rFonts w:ascii="Times New Roman" w:eastAsia="Times New Roman" w:hAnsi="Times New Roman" w:cs="Times New Roman"/>
          <w:sz w:val="24"/>
          <w:szCs w:val="24"/>
        </w:rPr>
        <w:t>Berdasarkan</w:t>
      </w:r>
      <w:proofErr w:type="spellEnd"/>
      <w:r w:rsidR="00DE71F1" w:rsidRPr="00B14ED8">
        <w:rPr>
          <w:rFonts w:ascii="Times New Roman" w:eastAsia="Times New Roman" w:hAnsi="Times New Roman" w:cs="Times New Roman"/>
          <w:sz w:val="24"/>
          <w:szCs w:val="24"/>
        </w:rPr>
        <w:t xml:space="preserve"> pada </w:t>
      </w:r>
      <w:proofErr w:type="spellStart"/>
      <w:r w:rsidR="00DE71F1" w:rsidRPr="00B14ED8">
        <w:rPr>
          <w:rFonts w:ascii="Times New Roman" w:eastAsia="Times New Roman" w:hAnsi="Times New Roman" w:cs="Times New Roman"/>
          <w:sz w:val="24"/>
          <w:szCs w:val="24"/>
        </w:rPr>
        <w:t>keterangan</w:t>
      </w:r>
      <w:proofErr w:type="spellEnd"/>
      <w:r w:rsidR="00DE71F1" w:rsidRPr="00B14ED8">
        <w:rPr>
          <w:rFonts w:ascii="Times New Roman" w:eastAsia="Times New Roman" w:hAnsi="Times New Roman" w:cs="Times New Roman"/>
          <w:sz w:val="24"/>
          <w:szCs w:val="24"/>
        </w:rPr>
        <w:t xml:space="preserve"> </w:t>
      </w:r>
      <w:proofErr w:type="spellStart"/>
      <w:r w:rsidR="00DE71F1" w:rsidRPr="00B14ED8">
        <w:rPr>
          <w:rFonts w:ascii="Times New Roman" w:eastAsia="Times New Roman" w:hAnsi="Times New Roman" w:cs="Times New Roman"/>
          <w:sz w:val="24"/>
          <w:szCs w:val="24"/>
        </w:rPr>
        <w:t>ini</w:t>
      </w:r>
      <w:proofErr w:type="spellEnd"/>
      <w:r w:rsidR="00DE71F1" w:rsidRPr="00B14ED8">
        <w:rPr>
          <w:rFonts w:ascii="Times New Roman" w:eastAsia="Times New Roman" w:hAnsi="Times New Roman" w:cs="Times New Roman"/>
          <w:sz w:val="24"/>
          <w:szCs w:val="24"/>
        </w:rPr>
        <w:t xml:space="preserve"> </w:t>
      </w:r>
      <w:proofErr w:type="spellStart"/>
      <w:r w:rsidR="00DE71F1" w:rsidRPr="00B14ED8">
        <w:rPr>
          <w:rFonts w:ascii="Times New Roman" w:eastAsia="Times New Roman" w:hAnsi="Times New Roman" w:cs="Times New Roman"/>
          <w:sz w:val="24"/>
          <w:szCs w:val="24"/>
        </w:rPr>
        <w:t>maka</w:t>
      </w:r>
      <w:proofErr w:type="spellEnd"/>
      <w:r w:rsidR="00DE71F1" w:rsidRPr="00B14ED8">
        <w:rPr>
          <w:rFonts w:ascii="Times New Roman" w:eastAsia="Times New Roman" w:hAnsi="Times New Roman" w:cs="Times New Roman"/>
          <w:sz w:val="24"/>
          <w:szCs w:val="24"/>
        </w:rPr>
        <w:t xml:space="preserve"> </w:t>
      </w:r>
      <w:proofErr w:type="spellStart"/>
      <w:r w:rsidR="00DE71F1" w:rsidRPr="00B14ED8">
        <w:rPr>
          <w:rFonts w:ascii="Times New Roman" w:eastAsia="Times New Roman" w:hAnsi="Times New Roman" w:cs="Times New Roman"/>
          <w:sz w:val="24"/>
          <w:szCs w:val="24"/>
        </w:rPr>
        <w:t>hipotesis</w:t>
      </w:r>
      <w:proofErr w:type="spellEnd"/>
      <w:r w:rsidR="00DE71F1" w:rsidRPr="00B14ED8">
        <w:rPr>
          <w:rFonts w:ascii="Times New Roman" w:eastAsia="Times New Roman" w:hAnsi="Times New Roman" w:cs="Times New Roman"/>
          <w:sz w:val="24"/>
          <w:szCs w:val="24"/>
        </w:rPr>
        <w:t xml:space="preserve"> </w:t>
      </w:r>
      <w:r w:rsidR="008602E0" w:rsidRPr="00B14ED8">
        <w:rPr>
          <w:rFonts w:ascii="Times New Roman" w:eastAsia="Times New Roman" w:hAnsi="Times New Roman" w:cs="Times New Roman"/>
          <w:sz w:val="24"/>
          <w:szCs w:val="24"/>
        </w:rPr>
        <w:t>4</w:t>
      </w:r>
      <w:r w:rsidR="00DE71F1" w:rsidRPr="00B14ED8">
        <w:rPr>
          <w:rFonts w:ascii="Times New Roman" w:eastAsia="Times New Roman" w:hAnsi="Times New Roman" w:cs="Times New Roman"/>
          <w:sz w:val="24"/>
          <w:szCs w:val="24"/>
        </w:rPr>
        <w:t xml:space="preserve"> </w:t>
      </w:r>
      <w:proofErr w:type="spellStart"/>
      <w:r w:rsidR="00DE71F1" w:rsidRPr="00B14ED8">
        <w:rPr>
          <w:rFonts w:ascii="Times New Roman" w:eastAsia="Times New Roman" w:hAnsi="Times New Roman" w:cs="Times New Roman"/>
          <w:sz w:val="24"/>
          <w:szCs w:val="24"/>
        </w:rPr>
        <w:t>penelitian</w:t>
      </w:r>
      <w:proofErr w:type="spellEnd"/>
      <w:r w:rsidR="00DE71F1" w:rsidRPr="00B14ED8">
        <w:rPr>
          <w:rFonts w:ascii="Times New Roman" w:eastAsia="Times New Roman" w:hAnsi="Times New Roman" w:cs="Times New Roman"/>
          <w:sz w:val="24"/>
          <w:szCs w:val="24"/>
        </w:rPr>
        <w:t xml:space="preserve"> yang </w:t>
      </w:r>
      <w:proofErr w:type="spellStart"/>
      <w:r w:rsidR="00DE71F1" w:rsidRPr="00B14ED8">
        <w:rPr>
          <w:rFonts w:ascii="Times New Roman" w:eastAsia="Times New Roman" w:hAnsi="Times New Roman" w:cs="Times New Roman"/>
          <w:sz w:val="24"/>
          <w:szCs w:val="24"/>
        </w:rPr>
        <w:t>diajukan</w:t>
      </w:r>
      <w:proofErr w:type="spellEnd"/>
      <w:r w:rsidR="00DE71F1" w:rsidRPr="00B14ED8">
        <w:rPr>
          <w:rFonts w:ascii="Times New Roman" w:eastAsia="Times New Roman" w:hAnsi="Times New Roman" w:cs="Times New Roman"/>
          <w:sz w:val="24"/>
          <w:szCs w:val="24"/>
        </w:rPr>
        <w:t xml:space="preserve"> </w:t>
      </w:r>
      <w:proofErr w:type="spellStart"/>
      <w:r w:rsidR="00DE71F1" w:rsidRPr="00B14ED8">
        <w:rPr>
          <w:rFonts w:ascii="Times New Roman" w:eastAsia="Times New Roman" w:hAnsi="Times New Roman" w:cs="Times New Roman"/>
          <w:sz w:val="24"/>
          <w:szCs w:val="24"/>
        </w:rPr>
        <w:t>adalah</w:t>
      </w:r>
      <w:proofErr w:type="spellEnd"/>
      <w:r w:rsidR="00DE71F1" w:rsidRPr="00B14ED8">
        <w:rPr>
          <w:rFonts w:ascii="Times New Roman" w:eastAsia="Times New Roman" w:hAnsi="Times New Roman" w:cs="Times New Roman"/>
          <w:sz w:val="24"/>
          <w:szCs w:val="24"/>
        </w:rPr>
        <w:t xml:space="preserve"> </w:t>
      </w:r>
      <w:proofErr w:type="spellStart"/>
      <w:r w:rsidR="00DE71F1" w:rsidRPr="00B14ED8">
        <w:rPr>
          <w:rFonts w:ascii="Times New Roman" w:eastAsia="Times New Roman" w:hAnsi="Times New Roman" w:cs="Times New Roman"/>
          <w:sz w:val="24"/>
          <w:szCs w:val="24"/>
        </w:rPr>
        <w:t>sebagai</w:t>
      </w:r>
      <w:proofErr w:type="spellEnd"/>
      <w:r w:rsidR="00DE71F1" w:rsidRPr="00B14ED8">
        <w:rPr>
          <w:rFonts w:ascii="Times New Roman" w:eastAsia="Times New Roman" w:hAnsi="Times New Roman" w:cs="Times New Roman"/>
          <w:sz w:val="24"/>
          <w:szCs w:val="24"/>
        </w:rPr>
        <w:t xml:space="preserve"> </w:t>
      </w:r>
      <w:proofErr w:type="spellStart"/>
      <w:r w:rsidR="00DE71F1" w:rsidRPr="00B14ED8">
        <w:rPr>
          <w:rFonts w:ascii="Times New Roman" w:eastAsia="Times New Roman" w:hAnsi="Times New Roman" w:cs="Times New Roman"/>
          <w:sz w:val="24"/>
          <w:szCs w:val="24"/>
        </w:rPr>
        <w:t>berikut</w:t>
      </w:r>
      <w:proofErr w:type="spellEnd"/>
      <w:r w:rsidR="00DE71F1" w:rsidRPr="00B14ED8">
        <w:rPr>
          <w:rFonts w:ascii="Times New Roman" w:eastAsia="Times New Roman" w:hAnsi="Times New Roman" w:cs="Times New Roman"/>
          <w:sz w:val="24"/>
          <w:szCs w:val="24"/>
        </w:rPr>
        <w:t>:</w:t>
      </w:r>
    </w:p>
    <w:p w14:paraId="1A28B978" w14:textId="35B3001F" w:rsidR="00B3267F" w:rsidRPr="00B14ED8" w:rsidRDefault="00AE381C" w:rsidP="00B14ED8">
      <w:pPr>
        <w:tabs>
          <w:tab w:val="left" w:pos="567"/>
        </w:tabs>
        <w:spacing w:after="0" w:line="360" w:lineRule="auto"/>
        <w:jc w:val="both"/>
        <w:rPr>
          <w:rFonts w:ascii="Times New Roman" w:eastAsia="Times New Roman" w:hAnsi="Times New Roman" w:cs="Times New Roman"/>
          <w:sz w:val="24"/>
          <w:szCs w:val="24"/>
        </w:rPr>
      </w:pPr>
      <w:r w:rsidRPr="00B14ED8">
        <w:rPr>
          <w:rFonts w:ascii="Times New Roman" w:eastAsia="Times New Roman" w:hAnsi="Times New Roman" w:cs="Times New Roman"/>
          <w:sz w:val="24"/>
          <w:szCs w:val="24"/>
        </w:rPr>
        <w:t>H</w:t>
      </w:r>
      <w:r w:rsidR="000C5978" w:rsidRPr="00B14ED8">
        <w:rPr>
          <w:rFonts w:ascii="Times New Roman" w:eastAsia="Times New Roman" w:hAnsi="Times New Roman" w:cs="Times New Roman"/>
          <w:sz w:val="24"/>
          <w:szCs w:val="24"/>
        </w:rPr>
        <w:t>4</w:t>
      </w:r>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Manajemen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risiko</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mampu</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w:t>
      </w:r>
      <w:r w:rsidR="001555A5" w:rsidRPr="00B14ED8">
        <w:rPr>
          <w:rFonts w:ascii="Times New Roman" w:eastAsia="Times New Roman" w:hAnsi="Times New Roman" w:cs="Times New Roman"/>
          <w:sz w:val="24"/>
          <w:szCs w:val="24"/>
        </w:rPr>
        <w:t>emoderasi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pengaruh</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pembiayaan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i/>
          <w:iCs/>
          <w:sz w:val="24"/>
          <w:szCs w:val="24"/>
        </w:rPr>
        <w:t>musyarakah</w:t>
      </w:r>
      <w:proofErr w:type="spellEnd"/>
      <w:r w:rsidRPr="00B14ED8">
        <w:rPr>
          <w:rFonts w:ascii="Times New Roman" w:eastAsia="Times New Roman" w:hAnsi="Times New Roman" w:cs="Times New Roman"/>
          <w:i/>
          <w:iCs/>
          <w:sz w:val="24"/>
          <w:szCs w:val="24"/>
        </w:rPr>
        <w:t xml:space="preserve"> </w:t>
      </w:r>
      <w:proofErr w:type="spellStart"/>
      <w:r w:rsidRPr="00B14ED8">
        <w:rPr>
          <w:rFonts w:ascii="Times New Roman" w:eastAsia="Times New Roman" w:hAnsi="Times New Roman" w:cs="Times New Roman"/>
          <w:sz w:val="24"/>
          <w:szCs w:val="24"/>
        </w:rPr>
        <w:t>terhadap</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kinerja</w:t>
      </w:r>
      <w:proofErr w:type="spellEnd"/>
      <w:r w:rsidRPr="00B14ED8">
        <w:rPr>
          <w:rFonts w:ascii="Times New Roman" w:eastAsia="Times New Roman" w:hAnsi="Times New Roman" w:cs="Times New Roman"/>
          <w:sz w:val="24"/>
          <w:szCs w:val="24"/>
        </w:rPr>
        <w:t xml:space="preserve"> </w:t>
      </w:r>
    </w:p>
    <w:p w14:paraId="42AC289E" w14:textId="4B159AFB" w:rsidR="00AE381C" w:rsidRPr="00B14ED8" w:rsidRDefault="00B3267F" w:rsidP="00B14ED8">
      <w:pPr>
        <w:tabs>
          <w:tab w:val="left" w:pos="567"/>
        </w:tabs>
        <w:spacing w:after="0" w:line="360" w:lineRule="auto"/>
        <w:jc w:val="both"/>
        <w:rPr>
          <w:rFonts w:ascii="Times New Roman" w:eastAsia="Times New Roman" w:hAnsi="Times New Roman" w:cs="Times New Roman"/>
          <w:sz w:val="24"/>
          <w:szCs w:val="24"/>
        </w:rPr>
      </w:pPr>
      <w:r w:rsidRPr="00B14ED8">
        <w:rPr>
          <w:rFonts w:ascii="Times New Roman" w:eastAsia="Times New Roman" w:hAnsi="Times New Roman" w:cs="Times New Roman"/>
          <w:sz w:val="24"/>
          <w:szCs w:val="24"/>
        </w:rPr>
        <w:t xml:space="preserve">       </w:t>
      </w:r>
      <w:proofErr w:type="spellStart"/>
      <w:r w:rsidR="00AE381C" w:rsidRPr="00B14ED8">
        <w:rPr>
          <w:rFonts w:ascii="Times New Roman" w:eastAsia="Times New Roman" w:hAnsi="Times New Roman" w:cs="Times New Roman"/>
          <w:sz w:val="24"/>
          <w:szCs w:val="24"/>
        </w:rPr>
        <w:t>keuangan</w:t>
      </w:r>
      <w:proofErr w:type="spellEnd"/>
    </w:p>
    <w:p w14:paraId="68FB2548" w14:textId="00798F27" w:rsidR="00E74804" w:rsidRPr="00B14ED8" w:rsidRDefault="00E74804" w:rsidP="00B14ED8">
      <w:pPr>
        <w:spacing w:after="0" w:line="360" w:lineRule="auto"/>
        <w:jc w:val="both"/>
        <w:rPr>
          <w:rFonts w:ascii="Times New Roman" w:eastAsia="Times New Roman" w:hAnsi="Times New Roman" w:cs="Times New Roman"/>
          <w:b/>
          <w:bCs/>
          <w:sz w:val="24"/>
          <w:szCs w:val="24"/>
        </w:rPr>
      </w:pPr>
      <w:proofErr w:type="spellStart"/>
      <w:r w:rsidRPr="00B14ED8">
        <w:rPr>
          <w:rFonts w:ascii="Times New Roman" w:eastAsia="Times New Roman" w:hAnsi="Times New Roman" w:cs="Times New Roman"/>
          <w:b/>
          <w:bCs/>
          <w:sz w:val="24"/>
          <w:szCs w:val="24"/>
        </w:rPr>
        <w:t>Kerangka</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Penelitian</w:t>
      </w:r>
      <w:proofErr w:type="spellEnd"/>
    </w:p>
    <w:p w14:paraId="6793F2D6" w14:textId="3AD49287" w:rsidR="005A5790" w:rsidRPr="00B14ED8" w:rsidRDefault="007315B4" w:rsidP="00B14ED8">
      <w:pPr>
        <w:tabs>
          <w:tab w:val="left" w:pos="567"/>
        </w:tabs>
        <w:spacing w:after="0" w:line="360" w:lineRule="auto"/>
        <w:ind w:firstLine="567"/>
        <w:jc w:val="both"/>
        <w:rPr>
          <w:rFonts w:ascii="Times New Roman" w:eastAsia="Times New Roman" w:hAnsi="Times New Roman" w:cs="Times New Roman"/>
          <w:sz w:val="24"/>
          <w:szCs w:val="24"/>
        </w:rPr>
      </w:pPr>
      <w:proofErr w:type="spellStart"/>
      <w:r w:rsidRPr="00B14ED8">
        <w:rPr>
          <w:rFonts w:ascii="Times New Roman" w:eastAsia="Times New Roman" w:hAnsi="Times New Roman" w:cs="Times New Roman"/>
          <w:sz w:val="24"/>
          <w:szCs w:val="24"/>
        </w:rPr>
        <w:t>Berdasarkan</w:t>
      </w:r>
      <w:proofErr w:type="spellEnd"/>
      <w:r w:rsidRPr="00B14ED8">
        <w:rPr>
          <w:rFonts w:ascii="Times New Roman" w:eastAsia="Times New Roman" w:hAnsi="Times New Roman" w:cs="Times New Roman"/>
          <w:sz w:val="24"/>
          <w:szCs w:val="24"/>
        </w:rPr>
        <w:t xml:space="preserve"> pada </w:t>
      </w:r>
      <w:proofErr w:type="spellStart"/>
      <w:r w:rsidRPr="00B14ED8">
        <w:rPr>
          <w:rFonts w:ascii="Times New Roman" w:eastAsia="Times New Roman" w:hAnsi="Times New Roman" w:cs="Times New Roman"/>
          <w:sz w:val="24"/>
          <w:szCs w:val="24"/>
        </w:rPr>
        <w:t>kajian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literatur</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terdahulu</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serta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hipotesis</w:t>
      </w:r>
      <w:proofErr w:type="spellEnd"/>
      <w:r w:rsidRPr="00B14ED8">
        <w:rPr>
          <w:rFonts w:ascii="Times New Roman" w:eastAsia="Times New Roman" w:hAnsi="Times New Roman" w:cs="Times New Roman"/>
          <w:sz w:val="24"/>
          <w:szCs w:val="24"/>
        </w:rPr>
        <w:t xml:space="preserve"> – </w:t>
      </w:r>
      <w:proofErr w:type="spellStart"/>
      <w:r w:rsidRPr="00B14ED8">
        <w:rPr>
          <w:rFonts w:ascii="Times New Roman" w:eastAsia="Times New Roman" w:hAnsi="Times New Roman" w:cs="Times New Roman"/>
          <w:sz w:val="24"/>
          <w:szCs w:val="24"/>
        </w:rPr>
        <w:t>hipotesis</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penelitian</w:t>
      </w:r>
      <w:proofErr w:type="spellEnd"/>
      <w:r w:rsidRPr="00B14ED8">
        <w:rPr>
          <w:rFonts w:ascii="Times New Roman" w:eastAsia="Times New Roman" w:hAnsi="Times New Roman" w:cs="Times New Roman"/>
          <w:sz w:val="24"/>
          <w:szCs w:val="24"/>
        </w:rPr>
        <w:t xml:space="preserve"> yang </w:t>
      </w:r>
      <w:proofErr w:type="spellStart"/>
      <w:r w:rsidRPr="00B14ED8">
        <w:rPr>
          <w:rFonts w:ascii="Times New Roman" w:eastAsia="Times New Roman" w:hAnsi="Times New Roman" w:cs="Times New Roman"/>
          <w:sz w:val="24"/>
          <w:szCs w:val="24"/>
        </w:rPr>
        <w:t>diajukan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maka</w:t>
      </w:r>
      <w:proofErr w:type="spellEnd"/>
      <w:r w:rsidRPr="00B14ED8">
        <w:rPr>
          <w:rFonts w:ascii="Times New Roman" w:eastAsia="Times New Roman" w:hAnsi="Times New Roman" w:cs="Times New Roman"/>
          <w:sz w:val="24"/>
          <w:szCs w:val="24"/>
        </w:rPr>
        <w:t xml:space="preserve"> </w:t>
      </w:r>
      <w:proofErr w:type="spellStart"/>
      <w:r w:rsidR="006A1A79" w:rsidRPr="00B14ED8">
        <w:rPr>
          <w:rFonts w:ascii="Times New Roman" w:eastAsia="Times New Roman" w:hAnsi="Times New Roman" w:cs="Times New Roman"/>
          <w:sz w:val="24"/>
          <w:szCs w:val="24"/>
        </w:rPr>
        <w:t>kerangka</w:t>
      </w:r>
      <w:proofErr w:type="spellEnd"/>
      <w:r w:rsidR="006A1A79" w:rsidRPr="00B14ED8">
        <w:rPr>
          <w:rFonts w:ascii="Times New Roman" w:eastAsia="Times New Roman" w:hAnsi="Times New Roman" w:cs="Times New Roman"/>
          <w:sz w:val="24"/>
          <w:szCs w:val="24"/>
        </w:rPr>
        <w:t xml:space="preserve"> </w:t>
      </w:r>
      <w:proofErr w:type="spellStart"/>
      <w:r w:rsidR="006A1A79" w:rsidRPr="00B14ED8">
        <w:rPr>
          <w:rFonts w:ascii="Times New Roman" w:eastAsia="Times New Roman" w:hAnsi="Times New Roman" w:cs="Times New Roman"/>
          <w:sz w:val="24"/>
          <w:szCs w:val="24"/>
        </w:rPr>
        <w:t>penelitian</w:t>
      </w:r>
      <w:proofErr w:type="spellEnd"/>
      <w:r w:rsidR="006A1A79" w:rsidRPr="00B14ED8">
        <w:rPr>
          <w:rFonts w:ascii="Times New Roman" w:eastAsia="Times New Roman" w:hAnsi="Times New Roman" w:cs="Times New Roman"/>
          <w:sz w:val="24"/>
          <w:szCs w:val="24"/>
        </w:rPr>
        <w:t xml:space="preserve"> yang </w:t>
      </w:r>
      <w:proofErr w:type="spellStart"/>
      <w:r w:rsidR="006A1A79" w:rsidRPr="00B14ED8">
        <w:rPr>
          <w:rFonts w:ascii="Times New Roman" w:eastAsia="Times New Roman" w:hAnsi="Times New Roman" w:cs="Times New Roman"/>
          <w:sz w:val="24"/>
          <w:szCs w:val="24"/>
        </w:rPr>
        <w:t>diterapkan</w:t>
      </w:r>
      <w:proofErr w:type="spellEnd"/>
      <w:r w:rsidR="006A1A79" w:rsidRPr="00B14ED8">
        <w:rPr>
          <w:rFonts w:ascii="Times New Roman" w:eastAsia="Times New Roman" w:hAnsi="Times New Roman" w:cs="Times New Roman"/>
          <w:sz w:val="24"/>
          <w:szCs w:val="24"/>
        </w:rPr>
        <w:t xml:space="preserve"> pada </w:t>
      </w:r>
      <w:proofErr w:type="spellStart"/>
      <w:r w:rsidR="00B3753B" w:rsidRPr="00B14ED8">
        <w:rPr>
          <w:rFonts w:ascii="Times New Roman" w:eastAsia="Times New Roman" w:hAnsi="Times New Roman" w:cs="Times New Roman"/>
          <w:sz w:val="24"/>
          <w:szCs w:val="24"/>
        </w:rPr>
        <w:t>penelitian</w:t>
      </w:r>
      <w:proofErr w:type="spellEnd"/>
      <w:r w:rsidR="006A1A79" w:rsidRPr="00B14ED8">
        <w:rPr>
          <w:rFonts w:ascii="Times New Roman" w:eastAsia="Times New Roman" w:hAnsi="Times New Roman" w:cs="Times New Roman"/>
          <w:sz w:val="24"/>
          <w:szCs w:val="24"/>
        </w:rPr>
        <w:t xml:space="preserve"> </w:t>
      </w:r>
      <w:proofErr w:type="spellStart"/>
      <w:r w:rsidR="006A1A79" w:rsidRPr="00B14ED8">
        <w:rPr>
          <w:rFonts w:ascii="Times New Roman" w:eastAsia="Times New Roman" w:hAnsi="Times New Roman" w:cs="Times New Roman"/>
          <w:sz w:val="24"/>
          <w:szCs w:val="24"/>
        </w:rPr>
        <w:t>ini</w:t>
      </w:r>
      <w:proofErr w:type="spellEnd"/>
      <w:r w:rsidR="006A1A79" w:rsidRPr="00B14ED8">
        <w:rPr>
          <w:rFonts w:ascii="Times New Roman" w:eastAsia="Times New Roman" w:hAnsi="Times New Roman" w:cs="Times New Roman"/>
          <w:sz w:val="24"/>
          <w:szCs w:val="24"/>
        </w:rPr>
        <w:t xml:space="preserve"> </w:t>
      </w:r>
      <w:proofErr w:type="spellStart"/>
      <w:r w:rsidR="006A1A79" w:rsidRPr="00B14ED8">
        <w:rPr>
          <w:rFonts w:ascii="Times New Roman" w:eastAsia="Times New Roman" w:hAnsi="Times New Roman" w:cs="Times New Roman"/>
          <w:sz w:val="24"/>
          <w:szCs w:val="24"/>
        </w:rPr>
        <w:t>adalah</w:t>
      </w:r>
      <w:proofErr w:type="spellEnd"/>
      <w:r w:rsidR="006A1A79" w:rsidRPr="00B14ED8">
        <w:rPr>
          <w:rFonts w:ascii="Times New Roman" w:eastAsia="Times New Roman" w:hAnsi="Times New Roman" w:cs="Times New Roman"/>
          <w:sz w:val="24"/>
          <w:szCs w:val="24"/>
        </w:rPr>
        <w:t xml:space="preserve"> </w:t>
      </w:r>
      <w:proofErr w:type="spellStart"/>
      <w:r w:rsidR="006A1A79" w:rsidRPr="00B14ED8">
        <w:rPr>
          <w:rFonts w:ascii="Times New Roman" w:eastAsia="Times New Roman" w:hAnsi="Times New Roman" w:cs="Times New Roman"/>
          <w:sz w:val="24"/>
          <w:szCs w:val="24"/>
        </w:rPr>
        <w:t>sebagai</w:t>
      </w:r>
      <w:proofErr w:type="spellEnd"/>
      <w:r w:rsidR="006A1A79" w:rsidRPr="00B14ED8">
        <w:rPr>
          <w:rFonts w:ascii="Times New Roman" w:eastAsia="Times New Roman" w:hAnsi="Times New Roman" w:cs="Times New Roman"/>
          <w:sz w:val="24"/>
          <w:szCs w:val="24"/>
        </w:rPr>
        <w:t xml:space="preserve"> </w:t>
      </w:r>
      <w:proofErr w:type="spellStart"/>
      <w:r w:rsidR="006A1A79" w:rsidRPr="00B14ED8">
        <w:rPr>
          <w:rFonts w:ascii="Times New Roman" w:eastAsia="Times New Roman" w:hAnsi="Times New Roman" w:cs="Times New Roman"/>
          <w:sz w:val="24"/>
          <w:szCs w:val="24"/>
        </w:rPr>
        <w:t>berikut</w:t>
      </w:r>
      <w:proofErr w:type="spellEnd"/>
      <w:r w:rsidR="006A1A79" w:rsidRPr="00B14ED8">
        <w:rPr>
          <w:rFonts w:ascii="Times New Roman" w:eastAsia="Times New Roman" w:hAnsi="Times New Roman" w:cs="Times New Roman"/>
          <w:sz w:val="24"/>
          <w:szCs w:val="24"/>
        </w:rPr>
        <w:t>:</w:t>
      </w:r>
    </w:p>
    <w:p w14:paraId="1235F6A1" w14:textId="7D4BDFC7" w:rsidR="00A60016" w:rsidRPr="00B14ED8" w:rsidRDefault="00A60016" w:rsidP="00B14ED8">
      <w:pPr>
        <w:tabs>
          <w:tab w:val="left" w:pos="567"/>
        </w:tabs>
        <w:spacing w:after="0" w:line="360" w:lineRule="auto"/>
        <w:ind w:firstLine="567"/>
        <w:jc w:val="both"/>
        <w:rPr>
          <w:rFonts w:ascii="Times New Roman" w:eastAsia="Times New Roman" w:hAnsi="Times New Roman" w:cs="Times New Roman"/>
          <w:sz w:val="24"/>
          <w:szCs w:val="24"/>
        </w:rPr>
      </w:pPr>
    </w:p>
    <w:p w14:paraId="1B71C734" w14:textId="77777777" w:rsidR="00260B3A" w:rsidRPr="00B14ED8" w:rsidRDefault="00260B3A" w:rsidP="00B14ED8">
      <w:pPr>
        <w:tabs>
          <w:tab w:val="left" w:pos="567"/>
        </w:tabs>
        <w:spacing w:after="0" w:line="360" w:lineRule="auto"/>
        <w:ind w:firstLine="567"/>
        <w:jc w:val="both"/>
        <w:rPr>
          <w:rFonts w:ascii="Times New Roman" w:eastAsia="Times New Roman" w:hAnsi="Times New Roman" w:cs="Times New Roman"/>
          <w:sz w:val="24"/>
          <w:szCs w:val="24"/>
        </w:rPr>
      </w:pPr>
    </w:p>
    <w:p w14:paraId="0518C371" w14:textId="63450C94" w:rsidR="00260B3A" w:rsidRPr="00B14ED8" w:rsidRDefault="00260B3A" w:rsidP="00B14ED8">
      <w:pPr>
        <w:tabs>
          <w:tab w:val="left" w:pos="567"/>
        </w:tabs>
        <w:spacing w:after="0" w:line="360" w:lineRule="auto"/>
        <w:ind w:firstLine="567"/>
        <w:jc w:val="both"/>
        <w:rPr>
          <w:rFonts w:ascii="Times New Roman" w:eastAsia="Times New Roman" w:hAnsi="Times New Roman" w:cs="Times New Roman"/>
          <w:sz w:val="24"/>
          <w:szCs w:val="24"/>
        </w:rPr>
      </w:pPr>
    </w:p>
    <w:p w14:paraId="1E259B11" w14:textId="5202789E" w:rsidR="00260B3A" w:rsidRPr="00B14ED8" w:rsidRDefault="00260B3A" w:rsidP="00B14ED8">
      <w:pPr>
        <w:tabs>
          <w:tab w:val="left" w:pos="567"/>
        </w:tabs>
        <w:spacing w:after="0" w:line="360" w:lineRule="auto"/>
        <w:ind w:firstLine="567"/>
        <w:jc w:val="both"/>
        <w:rPr>
          <w:rFonts w:ascii="Times New Roman" w:eastAsia="Times New Roman" w:hAnsi="Times New Roman" w:cs="Times New Roman"/>
          <w:sz w:val="24"/>
          <w:szCs w:val="24"/>
        </w:rPr>
      </w:pPr>
    </w:p>
    <w:p w14:paraId="473EAB7F" w14:textId="77777777" w:rsidR="00260B3A" w:rsidRPr="00B14ED8" w:rsidRDefault="00260B3A" w:rsidP="00B14ED8">
      <w:pPr>
        <w:tabs>
          <w:tab w:val="left" w:pos="567"/>
        </w:tabs>
        <w:spacing w:after="0" w:line="360" w:lineRule="auto"/>
        <w:ind w:firstLine="567"/>
        <w:jc w:val="both"/>
        <w:rPr>
          <w:rFonts w:ascii="Times New Roman" w:eastAsia="Times New Roman" w:hAnsi="Times New Roman" w:cs="Times New Roman"/>
          <w:sz w:val="24"/>
          <w:szCs w:val="24"/>
        </w:rPr>
      </w:pPr>
    </w:p>
    <w:p w14:paraId="78786152" w14:textId="329340C7" w:rsidR="00260B3A" w:rsidRDefault="00B14ED8" w:rsidP="00B14ED8">
      <w:pPr>
        <w:tabs>
          <w:tab w:val="left" w:pos="567"/>
        </w:tabs>
        <w:spacing w:after="0" w:line="360" w:lineRule="auto"/>
        <w:ind w:firstLine="567"/>
        <w:jc w:val="both"/>
        <w:rPr>
          <w:rFonts w:ascii="Times New Roman" w:eastAsia="Times New Roman" w:hAnsi="Times New Roman" w:cs="Times New Roman"/>
          <w:sz w:val="24"/>
          <w:szCs w:val="24"/>
        </w:rPr>
      </w:pPr>
      <w:r w:rsidRPr="00B14ED8">
        <w:rPr>
          <w:rFonts w:ascii="Times New Roman" w:eastAsia="Times New Roman" w:hAnsi="Times New Roman" w:cs="Times New Roman"/>
          <w:noProof/>
          <w:sz w:val="24"/>
          <w:szCs w:val="24"/>
        </w:rPr>
        <w:lastRenderedPageBreak/>
        <w:drawing>
          <wp:anchor distT="0" distB="0" distL="114300" distR="114300" simplePos="0" relativeHeight="251680768" behindDoc="0" locked="0" layoutInCell="1" allowOverlap="1" wp14:anchorId="2B232AEF" wp14:editId="5628CE16">
            <wp:simplePos x="0" y="0"/>
            <wp:positionH relativeFrom="margin">
              <wp:align>center</wp:align>
            </wp:positionH>
            <wp:positionV relativeFrom="paragraph">
              <wp:posOffset>-255693</wp:posOffset>
            </wp:positionV>
            <wp:extent cx="3644974" cy="1717705"/>
            <wp:effectExtent l="0" t="0" r="0" b="0"/>
            <wp:wrapNone/>
            <wp:docPr id="1972862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862917" name=""/>
                    <pic:cNvPicPr/>
                  </pic:nvPicPr>
                  <pic:blipFill>
                    <a:blip r:embed="rId16">
                      <a:extLst>
                        <a:ext uri="{28A0092B-C50C-407E-A947-70E740481C1C}">
                          <a14:useLocalDpi xmlns:a14="http://schemas.microsoft.com/office/drawing/2010/main" val="0"/>
                        </a:ext>
                      </a:extLst>
                    </a:blip>
                    <a:stretch>
                      <a:fillRect/>
                    </a:stretch>
                  </pic:blipFill>
                  <pic:spPr>
                    <a:xfrm>
                      <a:off x="0" y="0"/>
                      <a:ext cx="3644974" cy="1717705"/>
                    </a:xfrm>
                    <a:prstGeom prst="rect">
                      <a:avLst/>
                    </a:prstGeom>
                  </pic:spPr>
                </pic:pic>
              </a:graphicData>
            </a:graphic>
            <wp14:sizeRelH relativeFrom="page">
              <wp14:pctWidth>0</wp14:pctWidth>
            </wp14:sizeRelH>
            <wp14:sizeRelV relativeFrom="page">
              <wp14:pctHeight>0</wp14:pctHeight>
            </wp14:sizeRelV>
          </wp:anchor>
        </w:drawing>
      </w:r>
    </w:p>
    <w:p w14:paraId="6E770128" w14:textId="413A1901" w:rsidR="00B14ED8" w:rsidRDefault="00B14ED8" w:rsidP="00B14ED8">
      <w:pPr>
        <w:tabs>
          <w:tab w:val="left" w:pos="567"/>
        </w:tabs>
        <w:spacing w:after="0" w:line="360" w:lineRule="auto"/>
        <w:ind w:firstLine="567"/>
        <w:jc w:val="both"/>
        <w:rPr>
          <w:rFonts w:ascii="Times New Roman" w:eastAsia="Times New Roman" w:hAnsi="Times New Roman" w:cs="Times New Roman"/>
          <w:sz w:val="24"/>
          <w:szCs w:val="24"/>
        </w:rPr>
      </w:pPr>
    </w:p>
    <w:p w14:paraId="16918842" w14:textId="58878A87" w:rsidR="00B14ED8" w:rsidRPr="00B14ED8" w:rsidRDefault="00B14ED8" w:rsidP="00B14ED8">
      <w:pPr>
        <w:tabs>
          <w:tab w:val="left" w:pos="567"/>
        </w:tabs>
        <w:spacing w:after="0" w:line="360" w:lineRule="auto"/>
        <w:ind w:firstLine="567"/>
        <w:jc w:val="both"/>
        <w:rPr>
          <w:rFonts w:ascii="Times New Roman" w:eastAsia="Times New Roman" w:hAnsi="Times New Roman" w:cs="Times New Roman"/>
          <w:sz w:val="24"/>
          <w:szCs w:val="24"/>
        </w:rPr>
      </w:pPr>
    </w:p>
    <w:p w14:paraId="45930877" w14:textId="17717918" w:rsidR="005A5790" w:rsidRDefault="005A5790" w:rsidP="00B14ED8">
      <w:pPr>
        <w:tabs>
          <w:tab w:val="left" w:pos="567"/>
        </w:tabs>
        <w:spacing w:after="0" w:line="360" w:lineRule="auto"/>
        <w:jc w:val="both"/>
        <w:rPr>
          <w:rFonts w:ascii="Times New Roman" w:eastAsia="Times New Roman" w:hAnsi="Times New Roman" w:cs="Times New Roman"/>
          <w:sz w:val="24"/>
          <w:szCs w:val="24"/>
        </w:rPr>
      </w:pPr>
    </w:p>
    <w:p w14:paraId="773F4FCD" w14:textId="77777777" w:rsidR="00B14ED8" w:rsidRPr="00B14ED8" w:rsidRDefault="00B14ED8" w:rsidP="00B14ED8">
      <w:pPr>
        <w:tabs>
          <w:tab w:val="left" w:pos="567"/>
        </w:tabs>
        <w:spacing w:after="0" w:line="360" w:lineRule="auto"/>
        <w:jc w:val="both"/>
        <w:rPr>
          <w:rFonts w:ascii="Times New Roman" w:eastAsia="Times New Roman" w:hAnsi="Times New Roman" w:cs="Times New Roman"/>
          <w:sz w:val="24"/>
          <w:szCs w:val="24"/>
        </w:rPr>
      </w:pPr>
    </w:p>
    <w:p w14:paraId="159F304A" w14:textId="7C559930" w:rsidR="00A60016" w:rsidRPr="00B14ED8" w:rsidRDefault="00A60016" w:rsidP="00B14ED8">
      <w:pPr>
        <w:tabs>
          <w:tab w:val="left" w:pos="567"/>
        </w:tabs>
        <w:spacing w:after="0" w:line="360" w:lineRule="auto"/>
        <w:jc w:val="both"/>
        <w:rPr>
          <w:rFonts w:ascii="Times New Roman" w:eastAsia="Times New Roman" w:hAnsi="Times New Roman" w:cs="Times New Roman"/>
          <w:sz w:val="24"/>
          <w:szCs w:val="24"/>
        </w:rPr>
      </w:pPr>
    </w:p>
    <w:p w14:paraId="06B0238C" w14:textId="054445F9" w:rsidR="00A60016" w:rsidRPr="00B14ED8" w:rsidRDefault="00D61278" w:rsidP="00B14ED8">
      <w:pPr>
        <w:tabs>
          <w:tab w:val="left" w:pos="567"/>
        </w:tabs>
        <w:spacing w:after="0" w:line="360" w:lineRule="auto"/>
        <w:jc w:val="both"/>
        <w:rPr>
          <w:rFonts w:ascii="Times New Roman" w:eastAsia="Times New Roman" w:hAnsi="Times New Roman" w:cs="Times New Roman"/>
          <w:sz w:val="24"/>
          <w:szCs w:val="24"/>
        </w:rPr>
      </w:pPr>
      <w:r w:rsidRPr="00B14ED8">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AFE143A" wp14:editId="7676F9E1">
                <wp:simplePos x="0" y="0"/>
                <wp:positionH relativeFrom="margin">
                  <wp:align>center</wp:align>
                </wp:positionH>
                <wp:positionV relativeFrom="paragraph">
                  <wp:posOffset>113074</wp:posOffset>
                </wp:positionV>
                <wp:extent cx="5701030" cy="635"/>
                <wp:effectExtent l="0" t="0" r="0" b="0"/>
                <wp:wrapNone/>
                <wp:docPr id="1918784954" name="Text Box 1"/>
                <wp:cNvGraphicFramePr/>
                <a:graphic xmlns:a="http://schemas.openxmlformats.org/drawingml/2006/main">
                  <a:graphicData uri="http://schemas.microsoft.com/office/word/2010/wordprocessingShape">
                    <wps:wsp>
                      <wps:cNvSpPr txBox="1"/>
                      <wps:spPr>
                        <a:xfrm>
                          <a:off x="0" y="0"/>
                          <a:ext cx="5701030" cy="635"/>
                        </a:xfrm>
                        <a:prstGeom prst="rect">
                          <a:avLst/>
                        </a:prstGeom>
                        <a:solidFill>
                          <a:prstClr val="white"/>
                        </a:solidFill>
                        <a:ln>
                          <a:noFill/>
                        </a:ln>
                      </wps:spPr>
                      <wps:txbx>
                        <w:txbxContent>
                          <w:p w14:paraId="04B59645" w14:textId="1B0E8406" w:rsidR="00D61278" w:rsidRPr="009D7EC2" w:rsidRDefault="00D61278" w:rsidP="00D61278">
                            <w:pPr>
                              <w:pStyle w:val="Caption"/>
                              <w:spacing w:after="0"/>
                              <w:jc w:val="center"/>
                              <w:rPr>
                                <w:rFonts w:ascii="Times New Roman" w:hAnsi="Times New Roman" w:cs="Times New Roman"/>
                              </w:rPr>
                            </w:pPr>
                            <w:r w:rsidRPr="009D7EC2">
                              <w:rPr>
                                <w:rFonts w:ascii="Times New Roman" w:hAnsi="Times New Roman" w:cs="Times New Roman"/>
                                <w:i w:val="0"/>
                                <w:iCs w:val="0"/>
                                <w:color w:val="000000" w:themeColor="text1"/>
                                <w:sz w:val="22"/>
                                <w:szCs w:val="22"/>
                              </w:rPr>
                              <w:t xml:space="preserve">Gambar  </w:t>
                            </w:r>
                            <w:r w:rsidRPr="009D7EC2">
                              <w:rPr>
                                <w:rFonts w:ascii="Times New Roman" w:hAnsi="Times New Roman" w:cs="Times New Roman"/>
                                <w:i w:val="0"/>
                                <w:iCs w:val="0"/>
                                <w:color w:val="000000" w:themeColor="text1"/>
                                <w:sz w:val="22"/>
                                <w:szCs w:val="22"/>
                              </w:rPr>
                              <w:fldChar w:fldCharType="begin"/>
                            </w:r>
                            <w:r w:rsidRPr="009D7EC2">
                              <w:rPr>
                                <w:rFonts w:ascii="Times New Roman" w:hAnsi="Times New Roman" w:cs="Times New Roman"/>
                                <w:i w:val="0"/>
                                <w:iCs w:val="0"/>
                                <w:color w:val="000000" w:themeColor="text1"/>
                                <w:sz w:val="22"/>
                                <w:szCs w:val="22"/>
                              </w:rPr>
                              <w:instrText xml:space="preserve"> SEQ Gambar_ \* ARABIC </w:instrText>
                            </w:r>
                            <w:r w:rsidRPr="009D7EC2">
                              <w:rPr>
                                <w:rFonts w:ascii="Times New Roman" w:hAnsi="Times New Roman" w:cs="Times New Roman"/>
                                <w:i w:val="0"/>
                                <w:iCs w:val="0"/>
                                <w:color w:val="000000" w:themeColor="text1"/>
                                <w:sz w:val="22"/>
                                <w:szCs w:val="22"/>
                              </w:rPr>
                              <w:fldChar w:fldCharType="separate"/>
                            </w:r>
                            <w:r w:rsidR="00940D99">
                              <w:rPr>
                                <w:rFonts w:ascii="Times New Roman" w:hAnsi="Times New Roman" w:cs="Times New Roman"/>
                                <w:i w:val="0"/>
                                <w:iCs w:val="0"/>
                                <w:noProof/>
                                <w:color w:val="000000" w:themeColor="text1"/>
                                <w:sz w:val="22"/>
                                <w:szCs w:val="22"/>
                              </w:rPr>
                              <w:t>4</w:t>
                            </w:r>
                            <w:r w:rsidRPr="009D7EC2">
                              <w:rPr>
                                <w:rFonts w:ascii="Times New Roman" w:hAnsi="Times New Roman" w:cs="Times New Roman"/>
                                <w:i w:val="0"/>
                                <w:iCs w:val="0"/>
                                <w:color w:val="000000" w:themeColor="text1"/>
                                <w:sz w:val="22"/>
                                <w:szCs w:val="22"/>
                              </w:rPr>
                              <w:fldChar w:fldCharType="end"/>
                            </w:r>
                            <w:r w:rsidRPr="009D7EC2">
                              <w:rPr>
                                <w:rFonts w:ascii="Times New Roman" w:hAnsi="Times New Roman" w:cs="Times New Roman"/>
                                <w:i w:val="0"/>
                                <w:iCs w:val="0"/>
                                <w:color w:val="000000" w:themeColor="text1"/>
                                <w:sz w:val="22"/>
                                <w:szCs w:val="22"/>
                              </w:rPr>
                              <w:t xml:space="preserve">. </w:t>
                            </w:r>
                            <w:r>
                              <w:rPr>
                                <w:rFonts w:ascii="Times New Roman" w:hAnsi="Times New Roman" w:cs="Times New Roman"/>
                                <w:i w:val="0"/>
                                <w:iCs w:val="0"/>
                                <w:color w:val="000000" w:themeColor="text1"/>
                                <w:sz w:val="22"/>
                                <w:szCs w:val="22"/>
                              </w:rPr>
                              <w:t xml:space="preserve">Kerangka Penelitian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 w14:anchorId="5AFE143A" id="_x0000_s1029" type="#_x0000_t202" style="position:absolute;left:0;text-align:left;margin-left:0;margin-top:8.9pt;width:448.9pt;height:.05pt;z-index:2516725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" stroked="f">
                <v:textbox style="mso-fit-shape-to-text:t" inset="0,0,0,0">
                  <w:txbxContent>
                    <w:p w14:paraId="04B59645" w14:textId="1B0E8406" w:rsidR="00D61278" w:rsidRPr="009D7EC2" w:rsidRDefault="00D61278" w:rsidP="00D61278">
                      <w:pPr>
                        <w:pStyle w:val="Caption"/>
                        <w:spacing w:after="0"/>
                        <w:jc w:val="center"/>
                        <w:rPr>
                          <w:rFonts w:ascii="Times New Roman" w:hAnsi="Times New Roman" w:cs="Times New Roman"/>
                        </w:rPr>
                      </w:pPr>
                      <w:r w:rsidRPr="009D7EC2">
                        <w:rPr>
                          <w:rFonts w:ascii="Times New Roman" w:hAnsi="Times New Roman" w:cs="Times New Roman"/>
                          <w:i w:val="0"/>
                          <w:iCs w:val="0"/>
                          <w:color w:val="000000" w:themeColor="text1"/>
                          <w:sz w:val="22"/>
                          <w:szCs w:val="22"/>
                        </w:rPr>
                        <w:t xml:space="preserve">Gambar  </w:t>
                      </w:r>
                      <w:r w:rsidRPr="009D7EC2">
                        <w:rPr>
                          <w:rFonts w:ascii="Times New Roman" w:hAnsi="Times New Roman" w:cs="Times New Roman"/>
                          <w:i w:val="0"/>
                          <w:iCs w:val="0"/>
                          <w:color w:val="000000" w:themeColor="text1"/>
                          <w:sz w:val="22"/>
                          <w:szCs w:val="22"/>
                        </w:rPr>
                        <w:fldChar w:fldCharType="begin"/>
                      </w:r>
                      <w:r w:rsidRPr="009D7EC2">
                        <w:rPr>
                          <w:rFonts w:ascii="Times New Roman" w:hAnsi="Times New Roman" w:cs="Times New Roman"/>
                          <w:i w:val="0"/>
                          <w:iCs w:val="0"/>
                          <w:color w:val="000000" w:themeColor="text1"/>
                          <w:sz w:val="22"/>
                          <w:szCs w:val="22"/>
                        </w:rPr>
                        <w:instrText xml:space="preserve"> SEQ Gambar_ \* ARABIC </w:instrText>
                      </w:r>
                      <w:r w:rsidRPr="009D7EC2">
                        <w:rPr>
                          <w:rFonts w:ascii="Times New Roman" w:hAnsi="Times New Roman" w:cs="Times New Roman"/>
                          <w:i w:val="0"/>
                          <w:iCs w:val="0"/>
                          <w:color w:val="000000" w:themeColor="text1"/>
                          <w:sz w:val="22"/>
                          <w:szCs w:val="22"/>
                        </w:rPr>
                        <w:fldChar w:fldCharType="separate"/>
                      </w:r>
                      <w:r w:rsidR="00940D99">
                        <w:rPr>
                          <w:rFonts w:ascii="Times New Roman" w:hAnsi="Times New Roman" w:cs="Times New Roman"/>
                          <w:i w:val="0"/>
                          <w:iCs w:val="0"/>
                          <w:noProof/>
                          <w:color w:val="000000" w:themeColor="text1"/>
                          <w:sz w:val="22"/>
                          <w:szCs w:val="22"/>
                        </w:rPr>
                        <w:t>4</w:t>
                      </w:r>
                      <w:r w:rsidRPr="009D7EC2">
                        <w:rPr>
                          <w:rFonts w:ascii="Times New Roman" w:hAnsi="Times New Roman" w:cs="Times New Roman"/>
                          <w:i w:val="0"/>
                          <w:iCs w:val="0"/>
                          <w:color w:val="000000" w:themeColor="text1"/>
                          <w:sz w:val="22"/>
                          <w:szCs w:val="22"/>
                        </w:rPr>
                        <w:fldChar w:fldCharType="end"/>
                      </w:r>
                      <w:r w:rsidRPr="009D7EC2">
                        <w:rPr>
                          <w:rFonts w:ascii="Times New Roman" w:hAnsi="Times New Roman" w:cs="Times New Roman"/>
                          <w:i w:val="0"/>
                          <w:iCs w:val="0"/>
                          <w:color w:val="000000" w:themeColor="text1"/>
                          <w:sz w:val="22"/>
                          <w:szCs w:val="22"/>
                        </w:rPr>
                        <w:t xml:space="preserve">. </w:t>
                      </w:r>
                      <w:proofErr w:type="spellStart"/>
                      <w:r>
                        <w:rPr>
                          <w:rFonts w:ascii="Times New Roman" w:hAnsi="Times New Roman" w:cs="Times New Roman"/>
                          <w:i w:val="0"/>
                          <w:iCs w:val="0"/>
                          <w:color w:val="000000" w:themeColor="text1"/>
                          <w:sz w:val="22"/>
                          <w:szCs w:val="22"/>
                        </w:rPr>
                        <w:t>Kerangka</w:t>
                      </w:r>
                      <w:proofErr w:type="spellEnd"/>
                      <w:r>
                        <w:rPr>
                          <w:rFonts w:ascii="Times New Roman" w:hAnsi="Times New Roman" w:cs="Times New Roman"/>
                          <w:i w:val="0"/>
                          <w:iCs w:val="0"/>
                          <w:color w:val="000000" w:themeColor="text1"/>
                          <w:sz w:val="22"/>
                          <w:szCs w:val="22"/>
                        </w:rPr>
                        <w:t xml:space="preserve"> </w:t>
                      </w:r>
                      <w:proofErr w:type="spellStart"/>
                      <w:r>
                        <w:rPr>
                          <w:rFonts w:ascii="Times New Roman" w:hAnsi="Times New Roman" w:cs="Times New Roman"/>
                          <w:i w:val="0"/>
                          <w:iCs w:val="0"/>
                          <w:color w:val="000000" w:themeColor="text1"/>
                          <w:sz w:val="22"/>
                          <w:szCs w:val="22"/>
                        </w:rPr>
                        <w:t>Penelitian</w:t>
                      </w:r>
                      <w:proofErr w:type="spellEnd"/>
                      <w:r>
                        <w:rPr>
                          <w:rFonts w:ascii="Times New Roman" w:hAnsi="Times New Roman" w:cs="Times New Roman"/>
                          <w:i w:val="0"/>
                          <w:iCs w:val="0"/>
                          <w:color w:val="000000" w:themeColor="text1"/>
                          <w:sz w:val="22"/>
                          <w:szCs w:val="22"/>
                        </w:rPr>
                        <w:t xml:space="preserve"> </w:t>
                      </w:r>
                    </w:p>
                  </w:txbxContent>
                </v:textbox>
                <w10:wrap anchorx="margin"/>
              </v:shape>
            </w:pict>
          </mc:Fallback>
        </mc:AlternateContent>
      </w:r>
    </w:p>
    <w:p w14:paraId="689D6F77" w14:textId="77777777" w:rsidR="00D61278" w:rsidRPr="00B14ED8" w:rsidRDefault="00D61278" w:rsidP="00B14ED8">
      <w:pPr>
        <w:tabs>
          <w:tab w:val="left" w:pos="567"/>
        </w:tabs>
        <w:spacing w:after="0" w:line="360" w:lineRule="auto"/>
        <w:jc w:val="both"/>
        <w:rPr>
          <w:rFonts w:ascii="Times New Roman" w:eastAsia="Times New Roman" w:hAnsi="Times New Roman" w:cs="Times New Roman"/>
          <w:sz w:val="24"/>
          <w:szCs w:val="24"/>
        </w:rPr>
      </w:pPr>
    </w:p>
    <w:p w14:paraId="15298AE6" w14:textId="3ADA5626" w:rsidR="005111AC" w:rsidRPr="00B14ED8" w:rsidRDefault="00D46250" w:rsidP="00B14ED8">
      <w:pPr>
        <w:tabs>
          <w:tab w:val="left" w:pos="567"/>
        </w:tabs>
        <w:spacing w:after="0" w:line="360" w:lineRule="auto"/>
        <w:jc w:val="both"/>
        <w:rPr>
          <w:rFonts w:ascii="Times New Roman" w:eastAsia="Times New Roman" w:hAnsi="Times New Roman" w:cs="Times New Roman"/>
          <w:b/>
          <w:sz w:val="24"/>
          <w:szCs w:val="24"/>
        </w:rPr>
      </w:pPr>
      <w:r w:rsidRPr="00B14ED8">
        <w:rPr>
          <w:rFonts w:ascii="Times New Roman" w:eastAsia="Times New Roman" w:hAnsi="Times New Roman" w:cs="Times New Roman"/>
          <w:b/>
          <w:sz w:val="24"/>
          <w:szCs w:val="24"/>
        </w:rPr>
        <w:t>C.</w:t>
      </w:r>
      <w:r w:rsidRPr="00B14ED8">
        <w:rPr>
          <w:rFonts w:ascii="Times New Roman" w:eastAsia="Times New Roman" w:hAnsi="Times New Roman" w:cs="Times New Roman"/>
          <w:b/>
          <w:sz w:val="24"/>
          <w:szCs w:val="24"/>
        </w:rPr>
        <w:tab/>
        <w:t>METODE PENELITIAN</w:t>
      </w:r>
    </w:p>
    <w:p w14:paraId="219A86C0" w14:textId="3796E31A" w:rsidR="00494480" w:rsidRPr="00B14ED8" w:rsidRDefault="00D46250" w:rsidP="00B14ED8">
      <w:pPr>
        <w:tabs>
          <w:tab w:val="left" w:pos="567"/>
        </w:tabs>
        <w:spacing w:after="0" w:line="360" w:lineRule="auto"/>
        <w:jc w:val="both"/>
        <w:rPr>
          <w:rFonts w:ascii="Times New Roman" w:eastAsia="Times New Roman" w:hAnsi="Times New Roman" w:cs="Times New Roman"/>
          <w:bCs/>
          <w:sz w:val="24"/>
          <w:szCs w:val="24"/>
          <w:lang w:val="en-US"/>
        </w:rPr>
      </w:pPr>
      <w:r w:rsidRPr="00B14ED8">
        <w:rPr>
          <w:rFonts w:ascii="Times New Roman" w:eastAsia="Times New Roman" w:hAnsi="Times New Roman" w:cs="Times New Roman"/>
          <w:sz w:val="24"/>
          <w:szCs w:val="24"/>
        </w:rPr>
        <w:tab/>
      </w:r>
      <w:proofErr w:type="spellStart"/>
      <w:r w:rsidR="005E458C" w:rsidRPr="00B14ED8">
        <w:rPr>
          <w:rFonts w:ascii="Times New Roman" w:eastAsia="Times New Roman" w:hAnsi="Times New Roman" w:cs="Times New Roman"/>
          <w:sz w:val="24"/>
          <w:szCs w:val="24"/>
        </w:rPr>
        <w:t>Metode</w:t>
      </w:r>
      <w:proofErr w:type="spellEnd"/>
      <w:r w:rsidR="005E458C" w:rsidRPr="00B14ED8">
        <w:rPr>
          <w:rFonts w:ascii="Times New Roman" w:eastAsia="Times New Roman" w:hAnsi="Times New Roman" w:cs="Times New Roman"/>
          <w:sz w:val="24"/>
          <w:szCs w:val="24"/>
        </w:rPr>
        <w:t xml:space="preserve"> </w:t>
      </w:r>
      <w:proofErr w:type="spellStart"/>
      <w:r w:rsidR="005E458C" w:rsidRPr="00B14ED8">
        <w:rPr>
          <w:rFonts w:ascii="Times New Roman" w:eastAsia="Times New Roman" w:hAnsi="Times New Roman" w:cs="Times New Roman"/>
          <w:sz w:val="24"/>
          <w:szCs w:val="24"/>
        </w:rPr>
        <w:t>penelitian</w:t>
      </w:r>
      <w:proofErr w:type="spellEnd"/>
      <w:r w:rsidR="005E458C" w:rsidRPr="00B14ED8">
        <w:rPr>
          <w:rFonts w:ascii="Times New Roman" w:eastAsia="Times New Roman" w:hAnsi="Times New Roman" w:cs="Times New Roman"/>
          <w:sz w:val="24"/>
          <w:szCs w:val="24"/>
        </w:rPr>
        <w:t xml:space="preserve"> yang </w:t>
      </w:r>
      <w:proofErr w:type="spellStart"/>
      <w:r w:rsidR="005E458C" w:rsidRPr="00B14ED8">
        <w:rPr>
          <w:rFonts w:ascii="Times New Roman" w:eastAsia="Times New Roman" w:hAnsi="Times New Roman" w:cs="Times New Roman"/>
          <w:sz w:val="24"/>
          <w:szCs w:val="24"/>
        </w:rPr>
        <w:t>digunakan</w:t>
      </w:r>
      <w:proofErr w:type="spellEnd"/>
      <w:r w:rsidR="005E458C" w:rsidRPr="00B14ED8">
        <w:rPr>
          <w:rFonts w:ascii="Times New Roman" w:eastAsia="Times New Roman" w:hAnsi="Times New Roman" w:cs="Times New Roman"/>
          <w:sz w:val="24"/>
          <w:szCs w:val="24"/>
        </w:rPr>
        <w:t xml:space="preserve"> pada </w:t>
      </w:r>
      <w:proofErr w:type="spellStart"/>
      <w:r w:rsidR="005E458C" w:rsidRPr="00B14ED8">
        <w:rPr>
          <w:rFonts w:ascii="Times New Roman" w:eastAsia="Times New Roman" w:hAnsi="Times New Roman" w:cs="Times New Roman"/>
          <w:sz w:val="24"/>
          <w:szCs w:val="24"/>
        </w:rPr>
        <w:t>studi</w:t>
      </w:r>
      <w:proofErr w:type="spellEnd"/>
      <w:r w:rsidR="005E458C" w:rsidRPr="00B14ED8">
        <w:rPr>
          <w:rFonts w:ascii="Times New Roman" w:eastAsia="Times New Roman" w:hAnsi="Times New Roman" w:cs="Times New Roman"/>
          <w:sz w:val="24"/>
          <w:szCs w:val="24"/>
        </w:rPr>
        <w:t xml:space="preserve"> </w:t>
      </w:r>
      <w:proofErr w:type="spellStart"/>
      <w:r w:rsidR="005E458C" w:rsidRPr="00B14ED8">
        <w:rPr>
          <w:rFonts w:ascii="Times New Roman" w:eastAsia="Times New Roman" w:hAnsi="Times New Roman" w:cs="Times New Roman"/>
          <w:sz w:val="24"/>
          <w:szCs w:val="24"/>
        </w:rPr>
        <w:t>ini</w:t>
      </w:r>
      <w:proofErr w:type="spellEnd"/>
      <w:r w:rsidR="005E458C" w:rsidRPr="00B14ED8">
        <w:rPr>
          <w:rFonts w:ascii="Times New Roman" w:eastAsia="Times New Roman" w:hAnsi="Times New Roman" w:cs="Times New Roman"/>
          <w:sz w:val="24"/>
          <w:szCs w:val="24"/>
        </w:rPr>
        <w:t xml:space="preserve"> </w:t>
      </w:r>
      <w:proofErr w:type="spellStart"/>
      <w:r w:rsidR="005E458C" w:rsidRPr="00B14ED8">
        <w:rPr>
          <w:rFonts w:ascii="Times New Roman" w:eastAsia="Times New Roman" w:hAnsi="Times New Roman" w:cs="Times New Roman"/>
          <w:sz w:val="24"/>
          <w:szCs w:val="24"/>
        </w:rPr>
        <w:t>adalah</w:t>
      </w:r>
      <w:proofErr w:type="spellEnd"/>
      <w:r w:rsidR="005E458C" w:rsidRPr="00B14ED8">
        <w:rPr>
          <w:rFonts w:ascii="Times New Roman" w:eastAsia="Times New Roman" w:hAnsi="Times New Roman" w:cs="Times New Roman"/>
          <w:sz w:val="24"/>
          <w:szCs w:val="24"/>
        </w:rPr>
        <w:t xml:space="preserve"> </w:t>
      </w:r>
      <w:proofErr w:type="spellStart"/>
      <w:r w:rsidR="005E458C" w:rsidRPr="00B14ED8">
        <w:rPr>
          <w:rFonts w:ascii="Times New Roman" w:eastAsia="Times New Roman" w:hAnsi="Times New Roman" w:cs="Times New Roman"/>
          <w:sz w:val="24"/>
          <w:szCs w:val="24"/>
        </w:rPr>
        <w:t>metode</w:t>
      </w:r>
      <w:proofErr w:type="spellEnd"/>
      <w:r w:rsidR="005E458C" w:rsidRPr="00B14ED8">
        <w:rPr>
          <w:rFonts w:ascii="Times New Roman" w:eastAsia="Times New Roman" w:hAnsi="Times New Roman" w:cs="Times New Roman"/>
          <w:sz w:val="24"/>
          <w:szCs w:val="24"/>
        </w:rPr>
        <w:t xml:space="preserve"> </w:t>
      </w:r>
      <w:proofErr w:type="spellStart"/>
      <w:r w:rsidR="005E458C" w:rsidRPr="00B14ED8">
        <w:rPr>
          <w:rFonts w:ascii="Times New Roman" w:eastAsia="Times New Roman" w:hAnsi="Times New Roman" w:cs="Times New Roman"/>
          <w:sz w:val="24"/>
          <w:szCs w:val="24"/>
        </w:rPr>
        <w:t>kuantitatif</w:t>
      </w:r>
      <w:proofErr w:type="spellEnd"/>
      <w:r w:rsidR="005E458C" w:rsidRPr="00B14ED8">
        <w:rPr>
          <w:rFonts w:ascii="Times New Roman" w:eastAsia="Times New Roman" w:hAnsi="Times New Roman" w:cs="Times New Roman"/>
          <w:sz w:val="24"/>
          <w:szCs w:val="24"/>
        </w:rPr>
        <w:t xml:space="preserve"> </w:t>
      </w:r>
      <w:proofErr w:type="spellStart"/>
      <w:r w:rsidR="003523B0" w:rsidRPr="00B14ED8">
        <w:rPr>
          <w:rFonts w:ascii="Times New Roman" w:eastAsia="Times New Roman" w:hAnsi="Times New Roman" w:cs="Times New Roman"/>
          <w:sz w:val="24"/>
          <w:szCs w:val="24"/>
        </w:rPr>
        <w:t>dengan</w:t>
      </w:r>
      <w:proofErr w:type="spellEnd"/>
      <w:r w:rsidR="003523B0" w:rsidRPr="00B14ED8">
        <w:rPr>
          <w:rFonts w:ascii="Times New Roman" w:eastAsia="Times New Roman" w:hAnsi="Times New Roman" w:cs="Times New Roman"/>
          <w:sz w:val="24"/>
          <w:szCs w:val="24"/>
        </w:rPr>
        <w:t xml:space="preserve"> data – data </w:t>
      </w:r>
      <w:proofErr w:type="spellStart"/>
      <w:r w:rsidR="003523B0" w:rsidRPr="00B14ED8">
        <w:rPr>
          <w:rFonts w:ascii="Times New Roman" w:eastAsia="Times New Roman" w:hAnsi="Times New Roman" w:cs="Times New Roman"/>
          <w:sz w:val="24"/>
          <w:szCs w:val="24"/>
        </w:rPr>
        <w:t>keuangan</w:t>
      </w:r>
      <w:proofErr w:type="spellEnd"/>
      <w:r w:rsidR="003523B0" w:rsidRPr="00B14ED8">
        <w:rPr>
          <w:rFonts w:ascii="Times New Roman" w:eastAsia="Times New Roman" w:hAnsi="Times New Roman" w:cs="Times New Roman"/>
          <w:sz w:val="24"/>
          <w:szCs w:val="24"/>
        </w:rPr>
        <w:t xml:space="preserve"> yang </w:t>
      </w:r>
      <w:proofErr w:type="spellStart"/>
      <w:r w:rsidR="003523B0" w:rsidRPr="00B14ED8">
        <w:rPr>
          <w:rFonts w:ascii="Times New Roman" w:eastAsia="Times New Roman" w:hAnsi="Times New Roman" w:cs="Times New Roman"/>
          <w:sz w:val="24"/>
          <w:szCs w:val="24"/>
        </w:rPr>
        <w:t>bersumber</w:t>
      </w:r>
      <w:proofErr w:type="spellEnd"/>
      <w:r w:rsidR="003523B0" w:rsidRPr="00B14ED8">
        <w:rPr>
          <w:rFonts w:ascii="Times New Roman" w:eastAsia="Times New Roman" w:hAnsi="Times New Roman" w:cs="Times New Roman"/>
          <w:sz w:val="24"/>
          <w:szCs w:val="24"/>
        </w:rPr>
        <w:t xml:space="preserve"> </w:t>
      </w:r>
      <w:proofErr w:type="spellStart"/>
      <w:r w:rsidR="003523B0" w:rsidRPr="00B14ED8">
        <w:rPr>
          <w:rFonts w:ascii="Times New Roman" w:eastAsia="Times New Roman" w:hAnsi="Times New Roman" w:cs="Times New Roman"/>
          <w:sz w:val="24"/>
          <w:szCs w:val="24"/>
        </w:rPr>
        <w:t>dari</w:t>
      </w:r>
      <w:proofErr w:type="spellEnd"/>
      <w:r w:rsidR="003523B0" w:rsidRPr="00B14ED8">
        <w:rPr>
          <w:rFonts w:ascii="Times New Roman" w:eastAsia="Times New Roman" w:hAnsi="Times New Roman" w:cs="Times New Roman"/>
          <w:sz w:val="24"/>
          <w:szCs w:val="24"/>
        </w:rPr>
        <w:t xml:space="preserve"> </w:t>
      </w:r>
      <w:proofErr w:type="spellStart"/>
      <w:r w:rsidR="00BA5EC5" w:rsidRPr="00B14ED8">
        <w:rPr>
          <w:rFonts w:ascii="Times New Roman" w:eastAsia="Times New Roman" w:hAnsi="Times New Roman" w:cs="Times New Roman"/>
          <w:sz w:val="24"/>
          <w:szCs w:val="24"/>
        </w:rPr>
        <w:t>laporan</w:t>
      </w:r>
      <w:proofErr w:type="spellEnd"/>
      <w:r w:rsidR="00BA5EC5" w:rsidRPr="00B14ED8">
        <w:rPr>
          <w:rFonts w:ascii="Times New Roman" w:eastAsia="Times New Roman" w:hAnsi="Times New Roman" w:cs="Times New Roman"/>
          <w:sz w:val="24"/>
          <w:szCs w:val="24"/>
        </w:rPr>
        <w:t xml:space="preserve"> </w:t>
      </w:r>
      <w:proofErr w:type="spellStart"/>
      <w:r w:rsidR="00BA5EC5" w:rsidRPr="00B14ED8">
        <w:rPr>
          <w:rFonts w:ascii="Times New Roman" w:eastAsia="Times New Roman" w:hAnsi="Times New Roman" w:cs="Times New Roman"/>
          <w:sz w:val="24"/>
          <w:szCs w:val="24"/>
        </w:rPr>
        <w:t>tahunan</w:t>
      </w:r>
      <w:proofErr w:type="spellEnd"/>
      <w:r w:rsidR="00BA5EC5" w:rsidRPr="00B14ED8">
        <w:rPr>
          <w:rFonts w:ascii="Times New Roman" w:eastAsia="Times New Roman" w:hAnsi="Times New Roman" w:cs="Times New Roman"/>
          <w:sz w:val="24"/>
          <w:szCs w:val="24"/>
        </w:rPr>
        <w:t xml:space="preserve"> </w:t>
      </w:r>
      <w:proofErr w:type="spellStart"/>
      <w:r w:rsidR="003523B0" w:rsidRPr="00B14ED8">
        <w:rPr>
          <w:rFonts w:ascii="Times New Roman" w:eastAsia="Times New Roman" w:hAnsi="Times New Roman" w:cs="Times New Roman"/>
          <w:sz w:val="24"/>
          <w:szCs w:val="24"/>
        </w:rPr>
        <w:t>lembaga</w:t>
      </w:r>
      <w:proofErr w:type="spellEnd"/>
      <w:r w:rsidR="003523B0" w:rsidRPr="00B14ED8">
        <w:rPr>
          <w:rFonts w:ascii="Times New Roman" w:eastAsia="Times New Roman" w:hAnsi="Times New Roman" w:cs="Times New Roman"/>
          <w:sz w:val="24"/>
          <w:szCs w:val="24"/>
        </w:rPr>
        <w:t xml:space="preserve"> </w:t>
      </w:r>
      <w:proofErr w:type="spellStart"/>
      <w:r w:rsidR="003523B0" w:rsidRPr="00B14ED8">
        <w:rPr>
          <w:rFonts w:ascii="Times New Roman" w:eastAsia="Times New Roman" w:hAnsi="Times New Roman" w:cs="Times New Roman"/>
          <w:sz w:val="24"/>
          <w:szCs w:val="24"/>
        </w:rPr>
        <w:t>perbankan</w:t>
      </w:r>
      <w:proofErr w:type="spellEnd"/>
      <w:r w:rsidR="003523B0" w:rsidRPr="00B14ED8">
        <w:rPr>
          <w:rFonts w:ascii="Times New Roman" w:eastAsia="Times New Roman" w:hAnsi="Times New Roman" w:cs="Times New Roman"/>
          <w:sz w:val="24"/>
          <w:szCs w:val="24"/>
        </w:rPr>
        <w:t xml:space="preserve"> </w:t>
      </w:r>
      <w:proofErr w:type="spellStart"/>
      <w:r w:rsidR="003523B0" w:rsidRPr="00B14ED8">
        <w:rPr>
          <w:rFonts w:ascii="Times New Roman" w:eastAsia="Times New Roman" w:hAnsi="Times New Roman" w:cs="Times New Roman"/>
          <w:sz w:val="24"/>
          <w:szCs w:val="24"/>
        </w:rPr>
        <w:t>umum</w:t>
      </w:r>
      <w:proofErr w:type="spellEnd"/>
      <w:r w:rsidR="003523B0" w:rsidRPr="00B14ED8">
        <w:rPr>
          <w:rFonts w:ascii="Times New Roman" w:eastAsia="Times New Roman" w:hAnsi="Times New Roman" w:cs="Times New Roman"/>
          <w:sz w:val="24"/>
          <w:szCs w:val="24"/>
        </w:rPr>
        <w:t xml:space="preserve"> </w:t>
      </w:r>
      <w:proofErr w:type="spellStart"/>
      <w:r w:rsidR="003523B0" w:rsidRPr="00B14ED8">
        <w:rPr>
          <w:rFonts w:ascii="Times New Roman" w:eastAsia="Times New Roman" w:hAnsi="Times New Roman" w:cs="Times New Roman"/>
          <w:sz w:val="24"/>
          <w:szCs w:val="24"/>
        </w:rPr>
        <w:t>syariah</w:t>
      </w:r>
      <w:proofErr w:type="spellEnd"/>
      <w:r w:rsidR="003523B0" w:rsidRPr="00B14ED8">
        <w:rPr>
          <w:rFonts w:ascii="Times New Roman" w:eastAsia="Times New Roman" w:hAnsi="Times New Roman" w:cs="Times New Roman"/>
          <w:sz w:val="24"/>
          <w:szCs w:val="24"/>
        </w:rPr>
        <w:t xml:space="preserve"> yang </w:t>
      </w:r>
      <w:proofErr w:type="spellStart"/>
      <w:r w:rsidR="003523B0" w:rsidRPr="00B14ED8">
        <w:rPr>
          <w:rFonts w:ascii="Times New Roman" w:eastAsia="Times New Roman" w:hAnsi="Times New Roman" w:cs="Times New Roman"/>
          <w:sz w:val="24"/>
          <w:szCs w:val="24"/>
        </w:rPr>
        <w:t>beroperasi</w:t>
      </w:r>
      <w:proofErr w:type="spellEnd"/>
      <w:r w:rsidR="003523B0" w:rsidRPr="00B14ED8">
        <w:rPr>
          <w:rFonts w:ascii="Times New Roman" w:eastAsia="Times New Roman" w:hAnsi="Times New Roman" w:cs="Times New Roman"/>
          <w:sz w:val="24"/>
          <w:szCs w:val="24"/>
        </w:rPr>
        <w:t xml:space="preserve"> di Indonesia</w:t>
      </w:r>
      <w:r w:rsidR="00E83EE7" w:rsidRPr="00B14ED8">
        <w:rPr>
          <w:rFonts w:ascii="Times New Roman" w:eastAsia="Times New Roman" w:hAnsi="Times New Roman" w:cs="Times New Roman"/>
          <w:sz w:val="24"/>
          <w:szCs w:val="24"/>
        </w:rPr>
        <w:t>.</w:t>
      </w:r>
      <w:r w:rsidR="00494480" w:rsidRPr="00B14ED8">
        <w:rPr>
          <w:rFonts w:ascii="Times New Roman" w:eastAsia="Times New Roman" w:hAnsi="Times New Roman" w:cs="Times New Roman"/>
          <w:sz w:val="24"/>
          <w:szCs w:val="24"/>
        </w:rPr>
        <w:t xml:space="preserve"> </w:t>
      </w:r>
      <w:proofErr w:type="spellStart"/>
      <w:r w:rsidR="004744BD" w:rsidRPr="00B14ED8">
        <w:rPr>
          <w:rFonts w:ascii="Times New Roman" w:eastAsia="Times New Roman" w:hAnsi="Times New Roman" w:cs="Times New Roman"/>
          <w:bCs/>
          <w:sz w:val="24"/>
          <w:szCs w:val="24"/>
          <w:lang w:val="en-US"/>
        </w:rPr>
        <w:t>Metode</w:t>
      </w:r>
      <w:proofErr w:type="spellEnd"/>
      <w:r w:rsidR="004744BD" w:rsidRPr="00B14ED8">
        <w:rPr>
          <w:rFonts w:ascii="Times New Roman" w:eastAsia="Times New Roman" w:hAnsi="Times New Roman" w:cs="Times New Roman"/>
          <w:bCs/>
          <w:sz w:val="24"/>
          <w:szCs w:val="24"/>
          <w:lang w:val="en-US"/>
        </w:rPr>
        <w:t xml:space="preserve"> </w:t>
      </w:r>
      <w:proofErr w:type="spellStart"/>
      <w:r w:rsidR="004744BD" w:rsidRPr="00B14ED8">
        <w:rPr>
          <w:rFonts w:ascii="Times New Roman" w:eastAsia="Times New Roman" w:hAnsi="Times New Roman" w:cs="Times New Roman"/>
          <w:bCs/>
          <w:sz w:val="24"/>
          <w:szCs w:val="24"/>
          <w:lang w:val="en-US"/>
        </w:rPr>
        <w:t>pengambilan</w:t>
      </w:r>
      <w:proofErr w:type="spellEnd"/>
      <w:r w:rsidR="004744BD" w:rsidRPr="00B14ED8">
        <w:rPr>
          <w:rFonts w:ascii="Times New Roman" w:eastAsia="Times New Roman" w:hAnsi="Times New Roman" w:cs="Times New Roman"/>
          <w:bCs/>
          <w:sz w:val="24"/>
          <w:szCs w:val="24"/>
          <w:lang w:val="en-US"/>
        </w:rPr>
        <w:t xml:space="preserve"> </w:t>
      </w:r>
      <w:proofErr w:type="spellStart"/>
      <w:r w:rsidR="004744BD" w:rsidRPr="00B14ED8">
        <w:rPr>
          <w:rFonts w:ascii="Times New Roman" w:eastAsia="Times New Roman" w:hAnsi="Times New Roman" w:cs="Times New Roman"/>
          <w:bCs/>
          <w:sz w:val="24"/>
          <w:szCs w:val="24"/>
          <w:lang w:val="en-US"/>
        </w:rPr>
        <w:t>sampel</w:t>
      </w:r>
      <w:proofErr w:type="spellEnd"/>
      <w:r w:rsidR="004744BD" w:rsidRPr="00B14ED8">
        <w:rPr>
          <w:rFonts w:ascii="Times New Roman" w:eastAsia="Times New Roman" w:hAnsi="Times New Roman" w:cs="Times New Roman"/>
          <w:bCs/>
          <w:sz w:val="24"/>
          <w:szCs w:val="24"/>
          <w:lang w:val="en-US"/>
        </w:rPr>
        <w:t xml:space="preserve"> yang </w:t>
      </w:r>
      <w:proofErr w:type="spellStart"/>
      <w:r w:rsidR="004744BD" w:rsidRPr="00B14ED8">
        <w:rPr>
          <w:rFonts w:ascii="Times New Roman" w:eastAsia="Times New Roman" w:hAnsi="Times New Roman" w:cs="Times New Roman"/>
          <w:bCs/>
          <w:sz w:val="24"/>
          <w:szCs w:val="24"/>
          <w:lang w:val="en-US"/>
        </w:rPr>
        <w:t>digunakan</w:t>
      </w:r>
      <w:proofErr w:type="spellEnd"/>
      <w:r w:rsidR="004744BD" w:rsidRPr="00B14ED8">
        <w:rPr>
          <w:rFonts w:ascii="Times New Roman" w:eastAsia="Times New Roman" w:hAnsi="Times New Roman" w:cs="Times New Roman"/>
          <w:bCs/>
          <w:sz w:val="24"/>
          <w:szCs w:val="24"/>
          <w:lang w:val="en-US"/>
        </w:rPr>
        <w:t xml:space="preserve"> </w:t>
      </w:r>
      <w:proofErr w:type="spellStart"/>
      <w:r w:rsidR="004744BD" w:rsidRPr="00B14ED8">
        <w:rPr>
          <w:rFonts w:ascii="Times New Roman" w:eastAsia="Times New Roman" w:hAnsi="Times New Roman" w:cs="Times New Roman"/>
          <w:bCs/>
          <w:sz w:val="24"/>
          <w:szCs w:val="24"/>
          <w:lang w:val="en-US"/>
        </w:rPr>
        <w:t>adalah</w:t>
      </w:r>
      <w:proofErr w:type="spellEnd"/>
      <w:r w:rsidR="00494480" w:rsidRPr="00B14ED8">
        <w:rPr>
          <w:rFonts w:ascii="Times New Roman" w:eastAsia="Times New Roman" w:hAnsi="Times New Roman" w:cs="Times New Roman"/>
          <w:bCs/>
          <w:sz w:val="24"/>
          <w:szCs w:val="24"/>
          <w:lang w:val="en-US"/>
        </w:rPr>
        <w:t xml:space="preserve"> </w:t>
      </w:r>
      <w:proofErr w:type="spellStart"/>
      <w:r w:rsidR="00494480" w:rsidRPr="00B14ED8">
        <w:rPr>
          <w:rFonts w:ascii="Times New Roman" w:eastAsia="Times New Roman" w:hAnsi="Times New Roman" w:cs="Times New Roman"/>
          <w:bCs/>
          <w:sz w:val="24"/>
          <w:szCs w:val="24"/>
          <w:lang w:val="en-US"/>
        </w:rPr>
        <w:t>teknik</w:t>
      </w:r>
      <w:proofErr w:type="spellEnd"/>
      <w:r w:rsidR="00494480" w:rsidRPr="00B14ED8">
        <w:rPr>
          <w:rFonts w:ascii="Times New Roman" w:eastAsia="Times New Roman" w:hAnsi="Times New Roman" w:cs="Times New Roman"/>
          <w:bCs/>
          <w:sz w:val="24"/>
          <w:szCs w:val="24"/>
          <w:lang w:val="en-US"/>
        </w:rPr>
        <w:t xml:space="preserve"> </w:t>
      </w:r>
      <w:r w:rsidR="00494480" w:rsidRPr="00B14ED8">
        <w:rPr>
          <w:rFonts w:ascii="Times New Roman" w:eastAsia="Times New Roman" w:hAnsi="Times New Roman" w:cs="Times New Roman"/>
          <w:bCs/>
          <w:i/>
          <w:iCs/>
          <w:sz w:val="24"/>
          <w:szCs w:val="24"/>
          <w:lang w:val="en-US"/>
        </w:rPr>
        <w:t xml:space="preserve">purposive sampling </w:t>
      </w:r>
      <w:proofErr w:type="spellStart"/>
      <w:r w:rsidR="00494480" w:rsidRPr="00B14ED8">
        <w:rPr>
          <w:rFonts w:ascii="Times New Roman" w:eastAsia="Times New Roman" w:hAnsi="Times New Roman" w:cs="Times New Roman"/>
          <w:bCs/>
          <w:sz w:val="24"/>
          <w:szCs w:val="24"/>
          <w:lang w:val="en-US"/>
        </w:rPr>
        <w:t>yaitu</w:t>
      </w:r>
      <w:proofErr w:type="spellEnd"/>
      <w:r w:rsidR="00494480" w:rsidRPr="00B14ED8">
        <w:rPr>
          <w:rFonts w:ascii="Times New Roman" w:eastAsia="Times New Roman" w:hAnsi="Times New Roman" w:cs="Times New Roman"/>
          <w:bCs/>
          <w:sz w:val="24"/>
          <w:szCs w:val="24"/>
          <w:lang w:val="en-US"/>
        </w:rPr>
        <w:t xml:space="preserve"> </w:t>
      </w:r>
      <w:proofErr w:type="spellStart"/>
      <w:r w:rsidR="00494480" w:rsidRPr="00B14ED8">
        <w:rPr>
          <w:rFonts w:ascii="Times New Roman" w:eastAsia="Times New Roman" w:hAnsi="Times New Roman" w:cs="Times New Roman"/>
          <w:bCs/>
          <w:sz w:val="24"/>
          <w:szCs w:val="24"/>
          <w:lang w:val="en-US"/>
        </w:rPr>
        <w:t>penentuan</w:t>
      </w:r>
      <w:proofErr w:type="spellEnd"/>
      <w:r w:rsidR="00494480" w:rsidRPr="00B14ED8">
        <w:rPr>
          <w:rFonts w:ascii="Times New Roman" w:eastAsia="Times New Roman" w:hAnsi="Times New Roman" w:cs="Times New Roman"/>
          <w:bCs/>
          <w:sz w:val="24"/>
          <w:szCs w:val="24"/>
          <w:lang w:val="en-US"/>
        </w:rPr>
        <w:t xml:space="preserve"> </w:t>
      </w:r>
      <w:r w:rsidR="00494480" w:rsidRPr="00B14ED8">
        <w:rPr>
          <w:rFonts w:ascii="Times New Roman" w:eastAsia="Times New Roman" w:hAnsi="Times New Roman" w:cs="Times New Roman"/>
          <w:bCs/>
          <w:i/>
          <w:iCs/>
          <w:sz w:val="24"/>
          <w:szCs w:val="24"/>
          <w:lang w:val="en-US"/>
        </w:rPr>
        <w:t>sampling</w:t>
      </w:r>
      <w:r w:rsidR="00494480" w:rsidRPr="00B14ED8">
        <w:rPr>
          <w:rFonts w:ascii="Times New Roman" w:eastAsia="Times New Roman" w:hAnsi="Times New Roman" w:cs="Times New Roman"/>
          <w:bCs/>
          <w:sz w:val="24"/>
          <w:szCs w:val="24"/>
          <w:lang w:val="en-US"/>
        </w:rPr>
        <w:t xml:space="preserve"> </w:t>
      </w:r>
      <w:proofErr w:type="spellStart"/>
      <w:r w:rsidR="00494480" w:rsidRPr="00B14ED8">
        <w:rPr>
          <w:rFonts w:ascii="Times New Roman" w:eastAsia="Times New Roman" w:hAnsi="Times New Roman" w:cs="Times New Roman"/>
          <w:bCs/>
          <w:sz w:val="24"/>
          <w:szCs w:val="24"/>
          <w:lang w:val="en-US"/>
        </w:rPr>
        <w:t>dengan</w:t>
      </w:r>
      <w:proofErr w:type="spellEnd"/>
      <w:r w:rsidR="00494480" w:rsidRPr="00B14ED8">
        <w:rPr>
          <w:rFonts w:ascii="Times New Roman" w:eastAsia="Times New Roman" w:hAnsi="Times New Roman" w:cs="Times New Roman"/>
          <w:bCs/>
          <w:sz w:val="24"/>
          <w:szCs w:val="24"/>
          <w:lang w:val="en-US"/>
        </w:rPr>
        <w:t xml:space="preserve"> </w:t>
      </w:r>
      <w:proofErr w:type="spellStart"/>
      <w:r w:rsidR="00494480" w:rsidRPr="00B14ED8">
        <w:rPr>
          <w:rFonts w:ascii="Times New Roman" w:eastAsia="Times New Roman" w:hAnsi="Times New Roman" w:cs="Times New Roman"/>
          <w:bCs/>
          <w:sz w:val="24"/>
          <w:szCs w:val="24"/>
          <w:lang w:val="en-US"/>
        </w:rPr>
        <w:t>mempertimbangkan</w:t>
      </w:r>
      <w:proofErr w:type="spellEnd"/>
      <w:r w:rsidR="00494480" w:rsidRPr="00B14ED8">
        <w:rPr>
          <w:rFonts w:ascii="Times New Roman" w:eastAsia="Times New Roman" w:hAnsi="Times New Roman" w:cs="Times New Roman"/>
          <w:bCs/>
          <w:sz w:val="24"/>
          <w:szCs w:val="24"/>
          <w:lang w:val="en-US"/>
        </w:rPr>
        <w:t xml:space="preserve"> </w:t>
      </w:r>
      <w:proofErr w:type="spellStart"/>
      <w:r w:rsidR="00494480" w:rsidRPr="00B14ED8">
        <w:rPr>
          <w:rFonts w:ascii="Times New Roman" w:eastAsia="Times New Roman" w:hAnsi="Times New Roman" w:cs="Times New Roman"/>
          <w:bCs/>
          <w:sz w:val="24"/>
          <w:szCs w:val="24"/>
          <w:lang w:val="en-US"/>
        </w:rPr>
        <w:t>kriteria</w:t>
      </w:r>
      <w:proofErr w:type="spellEnd"/>
      <w:r w:rsidR="00494480" w:rsidRPr="00B14ED8">
        <w:rPr>
          <w:rFonts w:ascii="Times New Roman" w:eastAsia="Times New Roman" w:hAnsi="Times New Roman" w:cs="Times New Roman"/>
          <w:bCs/>
          <w:sz w:val="24"/>
          <w:szCs w:val="24"/>
          <w:lang w:val="en-US"/>
        </w:rPr>
        <w:t xml:space="preserve"> </w:t>
      </w:r>
      <w:proofErr w:type="spellStart"/>
      <w:r w:rsidR="00494480" w:rsidRPr="00B14ED8">
        <w:rPr>
          <w:rFonts w:ascii="Times New Roman" w:eastAsia="Times New Roman" w:hAnsi="Times New Roman" w:cs="Times New Roman"/>
          <w:bCs/>
          <w:sz w:val="24"/>
          <w:szCs w:val="24"/>
          <w:lang w:val="en-US"/>
        </w:rPr>
        <w:t>tertentu</w:t>
      </w:r>
      <w:proofErr w:type="spellEnd"/>
      <w:r w:rsidR="00494480" w:rsidRPr="00B14ED8">
        <w:rPr>
          <w:rFonts w:ascii="Times New Roman" w:eastAsia="Times New Roman" w:hAnsi="Times New Roman" w:cs="Times New Roman"/>
          <w:bCs/>
          <w:sz w:val="24"/>
          <w:szCs w:val="24"/>
          <w:lang w:val="en-US"/>
        </w:rPr>
        <w:t xml:space="preserve"> </w:t>
      </w:r>
      <w:r w:rsidR="00494480" w:rsidRPr="00B14ED8">
        <w:rPr>
          <w:rFonts w:ascii="Times New Roman" w:eastAsia="Times New Roman" w:hAnsi="Times New Roman" w:cs="Times New Roman"/>
          <w:bCs/>
          <w:sz w:val="24"/>
          <w:szCs w:val="24"/>
          <w:lang w:val="en-US"/>
        </w:rPr>
        <w:fldChar w:fldCharType="begin" w:fldLock="1"/>
      </w:r>
      <w:r w:rsidR="00494480" w:rsidRPr="00B14ED8">
        <w:rPr>
          <w:rFonts w:ascii="Times New Roman" w:eastAsia="Times New Roman" w:hAnsi="Times New Roman" w:cs="Times New Roman"/>
          <w:bCs/>
          <w:sz w:val="24"/>
          <w:szCs w:val="24"/>
          <w:lang w:val="en-U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approach.","author":[{"dropping-particle":"","family":"Sugiyono","given":"","non-dropping-particle":"","parse-names":false,"suffix":""}],"container-title":"Metode Penelitian Kuantitatif Kualitatif dan R&amp;D","id":"ITEM-1","issued":{"date-parts":[["2016"]]},"number-of-pages":"117","title":"Metode Penelitian Kuantitatif Kualitatif dan R&amp;D","type":"book"},"uris":["http://www.mendeley.com/documents/?uuid=32bfe355-1eae-419a-90e1-280bfe0ce981"]}],"mendeley":{"formattedCitation":"(Sugiyono, 2016)","plainTextFormattedCitation":"(Sugiyono, 2016)","previouslyFormattedCitation":"(Sugiyono, 2016)"},"properties":{"noteIndex":0},"schema":"https://github.com/citation-style-language/schema/raw/master/csl-citation.json"}</w:instrText>
      </w:r>
      <w:r w:rsidR="00494480" w:rsidRPr="00B14ED8">
        <w:rPr>
          <w:rFonts w:ascii="Times New Roman" w:eastAsia="Times New Roman" w:hAnsi="Times New Roman" w:cs="Times New Roman"/>
          <w:bCs/>
          <w:sz w:val="24"/>
          <w:szCs w:val="24"/>
          <w:lang w:val="en-US"/>
        </w:rPr>
        <w:fldChar w:fldCharType="separate"/>
      </w:r>
      <w:r w:rsidR="00494480" w:rsidRPr="00B14ED8">
        <w:rPr>
          <w:rFonts w:ascii="Times New Roman" w:eastAsia="Times New Roman" w:hAnsi="Times New Roman" w:cs="Times New Roman"/>
          <w:bCs/>
          <w:noProof/>
          <w:sz w:val="24"/>
          <w:szCs w:val="24"/>
          <w:lang w:val="en-US"/>
        </w:rPr>
        <w:t>(Sugiyono, 2016)</w:t>
      </w:r>
      <w:r w:rsidR="00494480" w:rsidRPr="00B14ED8">
        <w:rPr>
          <w:rFonts w:ascii="Times New Roman" w:eastAsia="Times New Roman" w:hAnsi="Times New Roman" w:cs="Times New Roman"/>
          <w:sz w:val="24"/>
          <w:szCs w:val="24"/>
        </w:rPr>
        <w:fldChar w:fldCharType="end"/>
      </w:r>
      <w:r w:rsidR="00494480" w:rsidRPr="00B14ED8">
        <w:rPr>
          <w:rFonts w:ascii="Times New Roman" w:eastAsia="Times New Roman" w:hAnsi="Times New Roman" w:cs="Times New Roman"/>
          <w:bCs/>
          <w:sz w:val="24"/>
          <w:szCs w:val="24"/>
          <w:lang w:val="en-US"/>
        </w:rPr>
        <w:t>.</w:t>
      </w:r>
      <w:r w:rsidR="001257EB" w:rsidRPr="00B14ED8">
        <w:rPr>
          <w:rFonts w:ascii="Times New Roman" w:eastAsia="Times New Roman" w:hAnsi="Times New Roman" w:cs="Times New Roman"/>
          <w:bCs/>
          <w:sz w:val="24"/>
          <w:szCs w:val="24"/>
          <w:lang w:val="en-US"/>
        </w:rPr>
        <w:t xml:space="preserve"> </w:t>
      </w:r>
      <w:proofErr w:type="spellStart"/>
      <w:r w:rsidR="001257EB" w:rsidRPr="00B14ED8">
        <w:rPr>
          <w:rFonts w:ascii="Times New Roman" w:eastAsia="Times New Roman" w:hAnsi="Times New Roman" w:cs="Times New Roman"/>
          <w:bCs/>
          <w:sz w:val="24"/>
          <w:szCs w:val="24"/>
          <w:lang w:val="en-US"/>
        </w:rPr>
        <w:t>Kriteria</w:t>
      </w:r>
      <w:proofErr w:type="spellEnd"/>
      <w:r w:rsidR="001257EB" w:rsidRPr="00B14ED8">
        <w:rPr>
          <w:rFonts w:ascii="Times New Roman" w:eastAsia="Times New Roman" w:hAnsi="Times New Roman" w:cs="Times New Roman"/>
          <w:bCs/>
          <w:sz w:val="24"/>
          <w:szCs w:val="24"/>
          <w:lang w:val="en-US"/>
        </w:rPr>
        <w:t xml:space="preserve"> yang </w:t>
      </w:r>
      <w:proofErr w:type="spellStart"/>
      <w:r w:rsidR="001257EB" w:rsidRPr="00B14ED8">
        <w:rPr>
          <w:rFonts w:ascii="Times New Roman" w:eastAsia="Times New Roman" w:hAnsi="Times New Roman" w:cs="Times New Roman"/>
          <w:bCs/>
          <w:sz w:val="24"/>
          <w:szCs w:val="24"/>
          <w:lang w:val="en-US"/>
        </w:rPr>
        <w:t>ditetapkan</w:t>
      </w:r>
      <w:proofErr w:type="spellEnd"/>
      <w:r w:rsidR="001257EB" w:rsidRPr="00B14ED8">
        <w:rPr>
          <w:rFonts w:ascii="Times New Roman" w:eastAsia="Times New Roman" w:hAnsi="Times New Roman" w:cs="Times New Roman"/>
          <w:bCs/>
          <w:sz w:val="24"/>
          <w:szCs w:val="24"/>
          <w:lang w:val="en-US"/>
        </w:rPr>
        <w:t xml:space="preserve"> </w:t>
      </w:r>
      <w:proofErr w:type="spellStart"/>
      <w:r w:rsidR="001257EB" w:rsidRPr="00B14ED8">
        <w:rPr>
          <w:rFonts w:ascii="Times New Roman" w:eastAsia="Times New Roman" w:hAnsi="Times New Roman" w:cs="Times New Roman"/>
          <w:bCs/>
          <w:sz w:val="24"/>
          <w:szCs w:val="24"/>
          <w:lang w:val="en-US"/>
        </w:rPr>
        <w:t>antara</w:t>
      </w:r>
      <w:proofErr w:type="spellEnd"/>
      <w:r w:rsidR="001257EB" w:rsidRPr="00B14ED8">
        <w:rPr>
          <w:rFonts w:ascii="Times New Roman" w:eastAsia="Times New Roman" w:hAnsi="Times New Roman" w:cs="Times New Roman"/>
          <w:bCs/>
          <w:sz w:val="24"/>
          <w:szCs w:val="24"/>
          <w:lang w:val="en-US"/>
        </w:rPr>
        <w:t xml:space="preserve"> lain </w:t>
      </w:r>
      <w:proofErr w:type="spellStart"/>
      <w:r w:rsidR="001257EB" w:rsidRPr="00B14ED8">
        <w:rPr>
          <w:rFonts w:ascii="Times New Roman" w:eastAsia="Times New Roman" w:hAnsi="Times New Roman" w:cs="Times New Roman"/>
          <w:bCs/>
          <w:sz w:val="24"/>
          <w:szCs w:val="24"/>
          <w:lang w:val="en-US"/>
        </w:rPr>
        <w:t>adalah</w:t>
      </w:r>
      <w:proofErr w:type="spellEnd"/>
      <w:r w:rsidR="001257EB" w:rsidRPr="00B14ED8">
        <w:rPr>
          <w:rFonts w:ascii="Times New Roman" w:eastAsia="Times New Roman" w:hAnsi="Times New Roman" w:cs="Times New Roman"/>
          <w:bCs/>
          <w:sz w:val="24"/>
          <w:szCs w:val="24"/>
          <w:lang w:val="en-US"/>
        </w:rPr>
        <w:t xml:space="preserve"> </w:t>
      </w:r>
      <w:proofErr w:type="spellStart"/>
      <w:r w:rsidR="001257EB" w:rsidRPr="00B14ED8">
        <w:rPr>
          <w:rFonts w:ascii="Times New Roman" w:eastAsia="Times New Roman" w:hAnsi="Times New Roman" w:cs="Times New Roman"/>
          <w:bCs/>
          <w:sz w:val="24"/>
          <w:szCs w:val="24"/>
          <w:lang w:val="en-US"/>
        </w:rPr>
        <w:t>sebagai</w:t>
      </w:r>
      <w:proofErr w:type="spellEnd"/>
      <w:r w:rsidR="001257EB" w:rsidRPr="00B14ED8">
        <w:rPr>
          <w:rFonts w:ascii="Times New Roman" w:eastAsia="Times New Roman" w:hAnsi="Times New Roman" w:cs="Times New Roman"/>
          <w:bCs/>
          <w:sz w:val="24"/>
          <w:szCs w:val="24"/>
          <w:lang w:val="en-US"/>
        </w:rPr>
        <w:t xml:space="preserve"> </w:t>
      </w:r>
      <w:proofErr w:type="spellStart"/>
      <w:r w:rsidR="001257EB" w:rsidRPr="00B14ED8">
        <w:rPr>
          <w:rFonts w:ascii="Times New Roman" w:eastAsia="Times New Roman" w:hAnsi="Times New Roman" w:cs="Times New Roman"/>
          <w:bCs/>
          <w:sz w:val="24"/>
          <w:szCs w:val="24"/>
          <w:lang w:val="en-US"/>
        </w:rPr>
        <w:t>berikut</w:t>
      </w:r>
      <w:proofErr w:type="spellEnd"/>
      <w:r w:rsidR="001257EB" w:rsidRPr="00B14ED8">
        <w:rPr>
          <w:rFonts w:ascii="Times New Roman" w:eastAsia="Times New Roman" w:hAnsi="Times New Roman" w:cs="Times New Roman"/>
          <w:bCs/>
          <w:sz w:val="24"/>
          <w:szCs w:val="24"/>
          <w:lang w:val="en-US"/>
        </w:rPr>
        <w:t>:</w:t>
      </w:r>
    </w:p>
    <w:p w14:paraId="09BEF654" w14:textId="09C99593" w:rsidR="001257EB" w:rsidRPr="00B14ED8" w:rsidRDefault="001257EB" w:rsidP="00B14ED8">
      <w:pPr>
        <w:numPr>
          <w:ilvl w:val="0"/>
          <w:numId w:val="13"/>
        </w:numPr>
        <w:spacing w:after="0" w:line="360" w:lineRule="auto"/>
        <w:ind w:left="993" w:hanging="284"/>
        <w:jc w:val="both"/>
        <w:rPr>
          <w:rFonts w:ascii="Times New Roman" w:eastAsia="Times New Roman" w:hAnsi="Times New Roman" w:cs="Times New Roman"/>
          <w:bCs/>
          <w:sz w:val="24"/>
          <w:szCs w:val="24"/>
          <w:lang w:val="en-US"/>
        </w:rPr>
      </w:pPr>
      <w:r w:rsidRPr="00B14ED8">
        <w:rPr>
          <w:rFonts w:ascii="Times New Roman" w:eastAsia="Times New Roman" w:hAnsi="Times New Roman" w:cs="Times New Roman"/>
          <w:bCs/>
          <w:sz w:val="24"/>
          <w:szCs w:val="24"/>
          <w:lang w:val="en-US"/>
        </w:rPr>
        <w:t xml:space="preserve">Perusahaan </w:t>
      </w:r>
      <w:proofErr w:type="spellStart"/>
      <w:r w:rsidRPr="00B14ED8">
        <w:rPr>
          <w:rFonts w:ascii="Times New Roman" w:eastAsia="Times New Roman" w:hAnsi="Times New Roman" w:cs="Times New Roman"/>
          <w:bCs/>
          <w:sz w:val="24"/>
          <w:szCs w:val="24"/>
          <w:lang w:val="en-US"/>
        </w:rPr>
        <w:t>perbankan</w:t>
      </w:r>
      <w:proofErr w:type="spellEnd"/>
      <w:r w:rsidRPr="00B14ED8">
        <w:rPr>
          <w:rFonts w:ascii="Times New Roman" w:eastAsia="Times New Roman" w:hAnsi="Times New Roman" w:cs="Times New Roman"/>
          <w:bCs/>
          <w:sz w:val="24"/>
          <w:szCs w:val="24"/>
          <w:lang w:val="en-US"/>
        </w:rPr>
        <w:t xml:space="preserve"> </w:t>
      </w:r>
      <w:proofErr w:type="spellStart"/>
      <w:r w:rsidRPr="00B14ED8">
        <w:rPr>
          <w:rFonts w:ascii="Times New Roman" w:eastAsia="Times New Roman" w:hAnsi="Times New Roman" w:cs="Times New Roman"/>
          <w:bCs/>
          <w:sz w:val="24"/>
          <w:szCs w:val="24"/>
          <w:lang w:val="en-US"/>
        </w:rPr>
        <w:t>syariah</w:t>
      </w:r>
      <w:proofErr w:type="spellEnd"/>
      <w:r w:rsidRPr="00B14ED8">
        <w:rPr>
          <w:rFonts w:ascii="Times New Roman" w:eastAsia="Times New Roman" w:hAnsi="Times New Roman" w:cs="Times New Roman"/>
          <w:bCs/>
          <w:sz w:val="24"/>
          <w:szCs w:val="24"/>
          <w:lang w:val="en-US"/>
        </w:rPr>
        <w:t xml:space="preserve"> </w:t>
      </w:r>
      <w:r w:rsidRPr="00B14ED8">
        <w:rPr>
          <w:rFonts w:ascii="Times New Roman" w:eastAsia="Times New Roman" w:hAnsi="Times New Roman" w:cs="Times New Roman"/>
          <w:bCs/>
          <w:i/>
          <w:iCs/>
          <w:sz w:val="24"/>
          <w:szCs w:val="24"/>
          <w:lang w:val="en-US"/>
        </w:rPr>
        <w:t>non merger</w:t>
      </w:r>
      <w:r w:rsidRPr="00B14ED8">
        <w:rPr>
          <w:rFonts w:ascii="Times New Roman" w:eastAsia="Times New Roman" w:hAnsi="Times New Roman" w:cs="Times New Roman"/>
          <w:bCs/>
          <w:sz w:val="24"/>
          <w:szCs w:val="24"/>
          <w:lang w:val="en-US"/>
        </w:rPr>
        <w:t xml:space="preserve"> yang </w:t>
      </w:r>
      <w:proofErr w:type="spellStart"/>
      <w:r w:rsidRPr="00B14ED8">
        <w:rPr>
          <w:rFonts w:ascii="Times New Roman" w:eastAsia="Times New Roman" w:hAnsi="Times New Roman" w:cs="Times New Roman"/>
          <w:bCs/>
          <w:sz w:val="24"/>
          <w:szCs w:val="24"/>
          <w:lang w:val="en-US"/>
        </w:rPr>
        <w:t>memiliki</w:t>
      </w:r>
      <w:proofErr w:type="spellEnd"/>
      <w:r w:rsidRPr="00B14ED8">
        <w:rPr>
          <w:rFonts w:ascii="Times New Roman" w:eastAsia="Times New Roman" w:hAnsi="Times New Roman" w:cs="Times New Roman"/>
          <w:bCs/>
          <w:sz w:val="24"/>
          <w:szCs w:val="24"/>
          <w:lang w:val="en-US"/>
        </w:rPr>
        <w:t xml:space="preserve"> </w:t>
      </w:r>
      <w:proofErr w:type="spellStart"/>
      <w:r w:rsidRPr="00B14ED8">
        <w:rPr>
          <w:rFonts w:ascii="Times New Roman" w:eastAsia="Times New Roman" w:hAnsi="Times New Roman" w:cs="Times New Roman"/>
          <w:bCs/>
          <w:sz w:val="24"/>
          <w:szCs w:val="24"/>
          <w:lang w:val="en-US"/>
        </w:rPr>
        <w:t>laporan</w:t>
      </w:r>
      <w:proofErr w:type="spellEnd"/>
      <w:r w:rsidRPr="00B14ED8">
        <w:rPr>
          <w:rFonts w:ascii="Times New Roman" w:eastAsia="Times New Roman" w:hAnsi="Times New Roman" w:cs="Times New Roman"/>
          <w:bCs/>
          <w:sz w:val="24"/>
          <w:szCs w:val="24"/>
          <w:lang w:val="en-US"/>
        </w:rPr>
        <w:t xml:space="preserve"> </w:t>
      </w:r>
      <w:proofErr w:type="spellStart"/>
      <w:r w:rsidRPr="00B14ED8">
        <w:rPr>
          <w:rFonts w:ascii="Times New Roman" w:eastAsia="Times New Roman" w:hAnsi="Times New Roman" w:cs="Times New Roman"/>
          <w:bCs/>
          <w:sz w:val="24"/>
          <w:szCs w:val="24"/>
          <w:lang w:val="en-US"/>
        </w:rPr>
        <w:t>keuangan</w:t>
      </w:r>
      <w:proofErr w:type="spellEnd"/>
      <w:r w:rsidRPr="00B14ED8">
        <w:rPr>
          <w:rFonts w:ascii="Times New Roman" w:eastAsia="Times New Roman" w:hAnsi="Times New Roman" w:cs="Times New Roman"/>
          <w:bCs/>
          <w:sz w:val="24"/>
          <w:szCs w:val="24"/>
          <w:lang w:val="en-US"/>
        </w:rPr>
        <w:t xml:space="preserve"> </w:t>
      </w:r>
      <w:proofErr w:type="spellStart"/>
      <w:r w:rsidRPr="00B14ED8">
        <w:rPr>
          <w:rFonts w:ascii="Times New Roman" w:eastAsia="Times New Roman" w:hAnsi="Times New Roman" w:cs="Times New Roman"/>
          <w:bCs/>
          <w:sz w:val="24"/>
          <w:szCs w:val="24"/>
          <w:lang w:val="en-US"/>
        </w:rPr>
        <w:t>lengkap</w:t>
      </w:r>
      <w:proofErr w:type="spellEnd"/>
      <w:r w:rsidRPr="00B14ED8">
        <w:rPr>
          <w:rFonts w:ascii="Times New Roman" w:eastAsia="Times New Roman" w:hAnsi="Times New Roman" w:cs="Times New Roman"/>
          <w:bCs/>
          <w:sz w:val="24"/>
          <w:szCs w:val="24"/>
          <w:lang w:val="en-US"/>
        </w:rPr>
        <w:t xml:space="preserve"> </w:t>
      </w:r>
      <w:proofErr w:type="spellStart"/>
      <w:r w:rsidR="00AD7389" w:rsidRPr="00B14ED8">
        <w:rPr>
          <w:rFonts w:ascii="Times New Roman" w:eastAsia="Times New Roman" w:hAnsi="Times New Roman" w:cs="Times New Roman"/>
          <w:bCs/>
          <w:sz w:val="24"/>
          <w:szCs w:val="24"/>
          <w:lang w:val="en-US"/>
        </w:rPr>
        <w:t>selama</w:t>
      </w:r>
      <w:proofErr w:type="spellEnd"/>
      <w:r w:rsidR="00AD7389" w:rsidRPr="00B14ED8">
        <w:rPr>
          <w:rFonts w:ascii="Times New Roman" w:eastAsia="Times New Roman" w:hAnsi="Times New Roman" w:cs="Times New Roman"/>
          <w:bCs/>
          <w:sz w:val="24"/>
          <w:szCs w:val="24"/>
          <w:lang w:val="en-US"/>
        </w:rPr>
        <w:t xml:space="preserve"> </w:t>
      </w:r>
      <w:r w:rsidR="00366B0E" w:rsidRPr="00B14ED8">
        <w:rPr>
          <w:rFonts w:ascii="Times New Roman" w:eastAsia="Times New Roman" w:hAnsi="Times New Roman" w:cs="Times New Roman"/>
          <w:bCs/>
          <w:sz w:val="24"/>
          <w:szCs w:val="24"/>
          <w:lang w:val="en-US"/>
        </w:rPr>
        <w:t>6</w:t>
      </w:r>
      <w:r w:rsidR="00AD7389" w:rsidRPr="00B14ED8">
        <w:rPr>
          <w:rFonts w:ascii="Times New Roman" w:eastAsia="Times New Roman" w:hAnsi="Times New Roman" w:cs="Times New Roman"/>
          <w:bCs/>
          <w:sz w:val="24"/>
          <w:szCs w:val="24"/>
          <w:lang w:val="en-US"/>
        </w:rPr>
        <w:t xml:space="preserve"> </w:t>
      </w:r>
      <w:proofErr w:type="spellStart"/>
      <w:r w:rsidR="00AD7389" w:rsidRPr="00B14ED8">
        <w:rPr>
          <w:rFonts w:ascii="Times New Roman" w:eastAsia="Times New Roman" w:hAnsi="Times New Roman" w:cs="Times New Roman"/>
          <w:bCs/>
          <w:sz w:val="24"/>
          <w:szCs w:val="24"/>
          <w:lang w:val="en-US"/>
        </w:rPr>
        <w:t>tahun</w:t>
      </w:r>
      <w:proofErr w:type="spellEnd"/>
      <w:r w:rsidR="00AD7389" w:rsidRPr="00B14ED8">
        <w:rPr>
          <w:rFonts w:ascii="Times New Roman" w:eastAsia="Times New Roman" w:hAnsi="Times New Roman" w:cs="Times New Roman"/>
          <w:bCs/>
          <w:sz w:val="24"/>
          <w:szCs w:val="24"/>
          <w:lang w:val="en-US"/>
        </w:rPr>
        <w:t xml:space="preserve"> </w:t>
      </w:r>
      <w:proofErr w:type="spellStart"/>
      <w:r w:rsidR="00AD7389" w:rsidRPr="00B14ED8">
        <w:rPr>
          <w:rFonts w:ascii="Times New Roman" w:eastAsia="Times New Roman" w:hAnsi="Times New Roman" w:cs="Times New Roman"/>
          <w:bCs/>
          <w:sz w:val="24"/>
          <w:szCs w:val="24"/>
          <w:lang w:val="en-US"/>
        </w:rPr>
        <w:t>berturut</w:t>
      </w:r>
      <w:proofErr w:type="spellEnd"/>
      <w:r w:rsidR="00AD7389" w:rsidRPr="00B14ED8">
        <w:rPr>
          <w:rFonts w:ascii="Times New Roman" w:eastAsia="Times New Roman" w:hAnsi="Times New Roman" w:cs="Times New Roman"/>
          <w:bCs/>
          <w:sz w:val="24"/>
          <w:szCs w:val="24"/>
          <w:lang w:val="en-US"/>
        </w:rPr>
        <w:t xml:space="preserve"> – </w:t>
      </w:r>
      <w:proofErr w:type="spellStart"/>
      <w:r w:rsidR="00AD7389" w:rsidRPr="00B14ED8">
        <w:rPr>
          <w:rFonts w:ascii="Times New Roman" w:eastAsia="Times New Roman" w:hAnsi="Times New Roman" w:cs="Times New Roman"/>
          <w:bCs/>
          <w:sz w:val="24"/>
          <w:szCs w:val="24"/>
          <w:lang w:val="en-US"/>
        </w:rPr>
        <w:t>turut</w:t>
      </w:r>
      <w:proofErr w:type="spellEnd"/>
      <w:r w:rsidR="00AD7389" w:rsidRPr="00B14ED8">
        <w:rPr>
          <w:rFonts w:ascii="Times New Roman" w:eastAsia="Times New Roman" w:hAnsi="Times New Roman" w:cs="Times New Roman"/>
          <w:bCs/>
          <w:sz w:val="24"/>
          <w:szCs w:val="24"/>
          <w:lang w:val="en-US"/>
        </w:rPr>
        <w:t xml:space="preserve"> </w:t>
      </w:r>
      <w:proofErr w:type="spellStart"/>
      <w:r w:rsidR="00AD7389" w:rsidRPr="00B14ED8">
        <w:rPr>
          <w:rFonts w:ascii="Times New Roman" w:eastAsia="Times New Roman" w:hAnsi="Times New Roman" w:cs="Times New Roman"/>
          <w:bCs/>
          <w:sz w:val="24"/>
          <w:szCs w:val="24"/>
          <w:lang w:val="en-US"/>
        </w:rPr>
        <w:t>dimulai</w:t>
      </w:r>
      <w:proofErr w:type="spellEnd"/>
      <w:r w:rsidR="00AD7389" w:rsidRPr="00B14ED8">
        <w:rPr>
          <w:rFonts w:ascii="Times New Roman" w:eastAsia="Times New Roman" w:hAnsi="Times New Roman" w:cs="Times New Roman"/>
          <w:bCs/>
          <w:sz w:val="24"/>
          <w:szCs w:val="24"/>
          <w:lang w:val="en-US"/>
        </w:rPr>
        <w:t xml:space="preserve"> </w:t>
      </w:r>
      <w:proofErr w:type="spellStart"/>
      <w:r w:rsidRPr="00B14ED8">
        <w:rPr>
          <w:rFonts w:ascii="Times New Roman" w:eastAsia="Times New Roman" w:hAnsi="Times New Roman" w:cs="Times New Roman"/>
          <w:bCs/>
          <w:sz w:val="24"/>
          <w:szCs w:val="24"/>
          <w:lang w:val="en-US"/>
        </w:rPr>
        <w:t>dari</w:t>
      </w:r>
      <w:proofErr w:type="spellEnd"/>
      <w:r w:rsidRPr="00B14ED8">
        <w:rPr>
          <w:rFonts w:ascii="Times New Roman" w:eastAsia="Times New Roman" w:hAnsi="Times New Roman" w:cs="Times New Roman"/>
          <w:bCs/>
          <w:sz w:val="24"/>
          <w:szCs w:val="24"/>
          <w:lang w:val="en-US"/>
        </w:rPr>
        <w:t xml:space="preserve"> </w:t>
      </w:r>
      <w:proofErr w:type="spellStart"/>
      <w:r w:rsidRPr="00B14ED8">
        <w:rPr>
          <w:rFonts w:ascii="Times New Roman" w:eastAsia="Times New Roman" w:hAnsi="Times New Roman" w:cs="Times New Roman"/>
          <w:bCs/>
          <w:sz w:val="24"/>
          <w:szCs w:val="24"/>
          <w:lang w:val="en-US"/>
        </w:rPr>
        <w:t>tahun</w:t>
      </w:r>
      <w:proofErr w:type="spellEnd"/>
      <w:r w:rsidRPr="00B14ED8">
        <w:rPr>
          <w:rFonts w:ascii="Times New Roman" w:eastAsia="Times New Roman" w:hAnsi="Times New Roman" w:cs="Times New Roman"/>
          <w:bCs/>
          <w:sz w:val="24"/>
          <w:szCs w:val="24"/>
          <w:lang w:val="en-US"/>
        </w:rPr>
        <w:t xml:space="preserve"> 201</w:t>
      </w:r>
      <w:r w:rsidR="005E7A11" w:rsidRPr="00B14ED8">
        <w:rPr>
          <w:rFonts w:ascii="Times New Roman" w:eastAsia="Times New Roman" w:hAnsi="Times New Roman" w:cs="Times New Roman"/>
          <w:bCs/>
          <w:sz w:val="24"/>
          <w:szCs w:val="24"/>
          <w:lang w:val="en-US"/>
        </w:rPr>
        <w:t>7</w:t>
      </w:r>
      <w:r w:rsidRPr="00B14ED8">
        <w:rPr>
          <w:rFonts w:ascii="Times New Roman" w:eastAsia="Times New Roman" w:hAnsi="Times New Roman" w:cs="Times New Roman"/>
          <w:bCs/>
          <w:sz w:val="24"/>
          <w:szCs w:val="24"/>
          <w:lang w:val="en-US"/>
        </w:rPr>
        <w:t xml:space="preserve"> </w:t>
      </w:r>
      <w:proofErr w:type="spellStart"/>
      <w:r w:rsidRPr="00B14ED8">
        <w:rPr>
          <w:rFonts w:ascii="Times New Roman" w:eastAsia="Times New Roman" w:hAnsi="Times New Roman" w:cs="Times New Roman"/>
          <w:bCs/>
          <w:sz w:val="24"/>
          <w:szCs w:val="24"/>
          <w:lang w:val="en-US"/>
        </w:rPr>
        <w:t>hingga</w:t>
      </w:r>
      <w:proofErr w:type="spellEnd"/>
      <w:r w:rsidRPr="00B14ED8">
        <w:rPr>
          <w:rFonts w:ascii="Times New Roman" w:eastAsia="Times New Roman" w:hAnsi="Times New Roman" w:cs="Times New Roman"/>
          <w:bCs/>
          <w:sz w:val="24"/>
          <w:szCs w:val="24"/>
          <w:lang w:val="en-US"/>
        </w:rPr>
        <w:t xml:space="preserve"> </w:t>
      </w:r>
      <w:proofErr w:type="spellStart"/>
      <w:r w:rsidRPr="00B14ED8">
        <w:rPr>
          <w:rFonts w:ascii="Times New Roman" w:eastAsia="Times New Roman" w:hAnsi="Times New Roman" w:cs="Times New Roman"/>
          <w:bCs/>
          <w:sz w:val="24"/>
          <w:szCs w:val="24"/>
          <w:lang w:val="en-US"/>
        </w:rPr>
        <w:t>tahun</w:t>
      </w:r>
      <w:proofErr w:type="spellEnd"/>
      <w:r w:rsidRPr="00B14ED8">
        <w:rPr>
          <w:rFonts w:ascii="Times New Roman" w:eastAsia="Times New Roman" w:hAnsi="Times New Roman" w:cs="Times New Roman"/>
          <w:bCs/>
          <w:sz w:val="24"/>
          <w:szCs w:val="24"/>
          <w:lang w:val="en-US"/>
        </w:rPr>
        <w:t xml:space="preserve"> 202</w:t>
      </w:r>
      <w:r w:rsidR="00366B0E" w:rsidRPr="00B14ED8">
        <w:rPr>
          <w:rFonts w:ascii="Times New Roman" w:eastAsia="Times New Roman" w:hAnsi="Times New Roman" w:cs="Times New Roman"/>
          <w:bCs/>
          <w:sz w:val="24"/>
          <w:szCs w:val="24"/>
          <w:lang w:val="en-US"/>
        </w:rPr>
        <w:t>2</w:t>
      </w:r>
      <w:r w:rsidRPr="00B14ED8">
        <w:rPr>
          <w:rFonts w:ascii="Times New Roman" w:eastAsia="Times New Roman" w:hAnsi="Times New Roman" w:cs="Times New Roman"/>
          <w:bCs/>
          <w:sz w:val="24"/>
          <w:szCs w:val="24"/>
          <w:lang w:val="en-US"/>
        </w:rPr>
        <w:t>.</w:t>
      </w:r>
      <w:r w:rsidR="0062188E" w:rsidRPr="00B14ED8">
        <w:rPr>
          <w:rFonts w:ascii="Times New Roman" w:eastAsia="Times New Roman" w:hAnsi="Times New Roman" w:cs="Times New Roman"/>
          <w:bCs/>
          <w:sz w:val="24"/>
          <w:szCs w:val="24"/>
          <w:lang w:val="en-US"/>
        </w:rPr>
        <w:t xml:space="preserve"> </w:t>
      </w:r>
      <w:proofErr w:type="spellStart"/>
      <w:r w:rsidR="0062188E" w:rsidRPr="00B14ED8">
        <w:rPr>
          <w:rFonts w:ascii="Times New Roman" w:eastAsia="Times New Roman" w:hAnsi="Times New Roman" w:cs="Times New Roman"/>
          <w:bCs/>
          <w:sz w:val="24"/>
          <w:szCs w:val="24"/>
          <w:lang w:val="en-US"/>
        </w:rPr>
        <w:t>Peneliti</w:t>
      </w:r>
      <w:proofErr w:type="spellEnd"/>
      <w:r w:rsidR="0062188E" w:rsidRPr="00B14ED8">
        <w:rPr>
          <w:rFonts w:ascii="Times New Roman" w:eastAsia="Times New Roman" w:hAnsi="Times New Roman" w:cs="Times New Roman"/>
          <w:bCs/>
          <w:sz w:val="24"/>
          <w:szCs w:val="24"/>
          <w:lang w:val="en-US"/>
        </w:rPr>
        <w:t xml:space="preserve"> </w:t>
      </w:r>
      <w:proofErr w:type="spellStart"/>
      <w:r w:rsidR="0062188E" w:rsidRPr="00B14ED8">
        <w:rPr>
          <w:rFonts w:ascii="Times New Roman" w:eastAsia="Times New Roman" w:hAnsi="Times New Roman" w:cs="Times New Roman"/>
          <w:bCs/>
          <w:sz w:val="24"/>
          <w:szCs w:val="24"/>
          <w:lang w:val="en-US"/>
        </w:rPr>
        <w:t>tidak</w:t>
      </w:r>
      <w:proofErr w:type="spellEnd"/>
      <w:r w:rsidR="0062188E" w:rsidRPr="00B14ED8">
        <w:rPr>
          <w:rFonts w:ascii="Times New Roman" w:eastAsia="Times New Roman" w:hAnsi="Times New Roman" w:cs="Times New Roman"/>
          <w:bCs/>
          <w:sz w:val="24"/>
          <w:szCs w:val="24"/>
          <w:lang w:val="en-US"/>
        </w:rPr>
        <w:t xml:space="preserve"> </w:t>
      </w:r>
      <w:proofErr w:type="spellStart"/>
      <w:r w:rsidR="0062188E" w:rsidRPr="00B14ED8">
        <w:rPr>
          <w:rFonts w:ascii="Times New Roman" w:eastAsia="Times New Roman" w:hAnsi="Times New Roman" w:cs="Times New Roman"/>
          <w:bCs/>
          <w:sz w:val="24"/>
          <w:szCs w:val="24"/>
          <w:lang w:val="en-US"/>
        </w:rPr>
        <w:t>memperpanjang</w:t>
      </w:r>
      <w:proofErr w:type="spellEnd"/>
      <w:r w:rsidR="0062188E" w:rsidRPr="00B14ED8">
        <w:rPr>
          <w:rFonts w:ascii="Times New Roman" w:eastAsia="Times New Roman" w:hAnsi="Times New Roman" w:cs="Times New Roman"/>
          <w:bCs/>
          <w:sz w:val="24"/>
          <w:szCs w:val="24"/>
          <w:lang w:val="en-US"/>
        </w:rPr>
        <w:t xml:space="preserve"> </w:t>
      </w:r>
      <w:proofErr w:type="spellStart"/>
      <w:r w:rsidR="0062188E" w:rsidRPr="00B14ED8">
        <w:rPr>
          <w:rFonts w:ascii="Times New Roman" w:eastAsia="Times New Roman" w:hAnsi="Times New Roman" w:cs="Times New Roman"/>
          <w:bCs/>
          <w:sz w:val="24"/>
          <w:szCs w:val="24"/>
          <w:lang w:val="en-US"/>
        </w:rPr>
        <w:t>waktu</w:t>
      </w:r>
      <w:proofErr w:type="spellEnd"/>
      <w:r w:rsidR="0062188E" w:rsidRPr="00B14ED8">
        <w:rPr>
          <w:rFonts w:ascii="Times New Roman" w:eastAsia="Times New Roman" w:hAnsi="Times New Roman" w:cs="Times New Roman"/>
          <w:bCs/>
          <w:sz w:val="24"/>
          <w:szCs w:val="24"/>
          <w:lang w:val="en-US"/>
        </w:rPr>
        <w:t xml:space="preserve"> </w:t>
      </w:r>
      <w:proofErr w:type="spellStart"/>
      <w:r w:rsidR="0062188E" w:rsidRPr="00B14ED8">
        <w:rPr>
          <w:rFonts w:ascii="Times New Roman" w:eastAsia="Times New Roman" w:hAnsi="Times New Roman" w:cs="Times New Roman"/>
          <w:bCs/>
          <w:sz w:val="24"/>
          <w:szCs w:val="24"/>
          <w:lang w:val="en-US"/>
        </w:rPr>
        <w:t>observasi</w:t>
      </w:r>
      <w:proofErr w:type="spellEnd"/>
      <w:r w:rsidR="0062188E" w:rsidRPr="00B14ED8">
        <w:rPr>
          <w:rFonts w:ascii="Times New Roman" w:eastAsia="Times New Roman" w:hAnsi="Times New Roman" w:cs="Times New Roman"/>
          <w:bCs/>
          <w:sz w:val="24"/>
          <w:szCs w:val="24"/>
          <w:lang w:val="en-US"/>
        </w:rPr>
        <w:t xml:space="preserve"> </w:t>
      </w:r>
      <w:proofErr w:type="spellStart"/>
      <w:r w:rsidR="0062188E" w:rsidRPr="00B14ED8">
        <w:rPr>
          <w:rFonts w:ascii="Times New Roman" w:eastAsia="Times New Roman" w:hAnsi="Times New Roman" w:cs="Times New Roman"/>
          <w:bCs/>
          <w:sz w:val="24"/>
          <w:szCs w:val="24"/>
          <w:lang w:val="en-US"/>
        </w:rPr>
        <w:t>hingga</w:t>
      </w:r>
      <w:proofErr w:type="spellEnd"/>
      <w:r w:rsidR="0062188E" w:rsidRPr="00B14ED8">
        <w:rPr>
          <w:rFonts w:ascii="Times New Roman" w:eastAsia="Times New Roman" w:hAnsi="Times New Roman" w:cs="Times New Roman"/>
          <w:bCs/>
          <w:sz w:val="24"/>
          <w:szCs w:val="24"/>
          <w:lang w:val="en-US"/>
        </w:rPr>
        <w:t xml:space="preserve"> 2023 </w:t>
      </w:r>
      <w:proofErr w:type="spellStart"/>
      <w:r w:rsidR="0062188E" w:rsidRPr="00B14ED8">
        <w:rPr>
          <w:rFonts w:ascii="Times New Roman" w:eastAsia="Times New Roman" w:hAnsi="Times New Roman" w:cs="Times New Roman"/>
          <w:bCs/>
          <w:sz w:val="24"/>
          <w:szCs w:val="24"/>
          <w:lang w:val="en-US"/>
        </w:rPr>
        <w:t>dikarenakan</w:t>
      </w:r>
      <w:proofErr w:type="spellEnd"/>
      <w:r w:rsidR="0062188E" w:rsidRPr="00B14ED8">
        <w:rPr>
          <w:rFonts w:ascii="Times New Roman" w:eastAsia="Times New Roman" w:hAnsi="Times New Roman" w:cs="Times New Roman"/>
          <w:bCs/>
          <w:sz w:val="24"/>
          <w:szCs w:val="24"/>
          <w:lang w:val="en-US"/>
        </w:rPr>
        <w:t xml:space="preserve"> </w:t>
      </w:r>
      <w:proofErr w:type="spellStart"/>
      <w:r w:rsidR="0062188E" w:rsidRPr="00B14ED8">
        <w:rPr>
          <w:rFonts w:ascii="Times New Roman" w:eastAsia="Times New Roman" w:hAnsi="Times New Roman" w:cs="Times New Roman"/>
          <w:bCs/>
          <w:sz w:val="24"/>
          <w:szCs w:val="24"/>
          <w:lang w:val="en-US"/>
        </w:rPr>
        <w:t>seluruh</w:t>
      </w:r>
      <w:proofErr w:type="spellEnd"/>
      <w:r w:rsidR="0062188E" w:rsidRPr="00B14ED8">
        <w:rPr>
          <w:rFonts w:ascii="Times New Roman" w:eastAsia="Times New Roman" w:hAnsi="Times New Roman" w:cs="Times New Roman"/>
          <w:bCs/>
          <w:sz w:val="24"/>
          <w:szCs w:val="24"/>
          <w:lang w:val="en-US"/>
        </w:rPr>
        <w:t xml:space="preserve"> </w:t>
      </w:r>
      <w:proofErr w:type="spellStart"/>
      <w:r w:rsidR="0062188E" w:rsidRPr="00B14ED8">
        <w:rPr>
          <w:rFonts w:ascii="Times New Roman" w:eastAsia="Times New Roman" w:hAnsi="Times New Roman" w:cs="Times New Roman"/>
          <w:bCs/>
          <w:sz w:val="24"/>
          <w:szCs w:val="24"/>
          <w:lang w:val="en-US"/>
        </w:rPr>
        <w:t>instansi</w:t>
      </w:r>
      <w:proofErr w:type="spellEnd"/>
      <w:r w:rsidR="0062188E" w:rsidRPr="00B14ED8">
        <w:rPr>
          <w:rFonts w:ascii="Times New Roman" w:eastAsia="Times New Roman" w:hAnsi="Times New Roman" w:cs="Times New Roman"/>
          <w:bCs/>
          <w:sz w:val="24"/>
          <w:szCs w:val="24"/>
          <w:lang w:val="en-US"/>
        </w:rPr>
        <w:t xml:space="preserve"> </w:t>
      </w:r>
      <w:proofErr w:type="spellStart"/>
      <w:r w:rsidR="0062188E" w:rsidRPr="00B14ED8">
        <w:rPr>
          <w:rFonts w:ascii="Times New Roman" w:eastAsia="Times New Roman" w:hAnsi="Times New Roman" w:cs="Times New Roman"/>
          <w:bCs/>
          <w:sz w:val="24"/>
          <w:szCs w:val="24"/>
          <w:lang w:val="en-US"/>
        </w:rPr>
        <w:t>perbankan</w:t>
      </w:r>
      <w:proofErr w:type="spellEnd"/>
      <w:r w:rsidR="0062188E" w:rsidRPr="00B14ED8">
        <w:rPr>
          <w:rFonts w:ascii="Times New Roman" w:eastAsia="Times New Roman" w:hAnsi="Times New Roman" w:cs="Times New Roman"/>
          <w:bCs/>
          <w:sz w:val="24"/>
          <w:szCs w:val="24"/>
          <w:lang w:val="en-US"/>
        </w:rPr>
        <w:t xml:space="preserve"> </w:t>
      </w:r>
      <w:proofErr w:type="spellStart"/>
      <w:r w:rsidR="0062188E" w:rsidRPr="00B14ED8">
        <w:rPr>
          <w:rFonts w:ascii="Times New Roman" w:eastAsia="Times New Roman" w:hAnsi="Times New Roman" w:cs="Times New Roman"/>
          <w:bCs/>
          <w:sz w:val="24"/>
          <w:szCs w:val="24"/>
          <w:lang w:val="en-US"/>
        </w:rPr>
        <w:t>syariah</w:t>
      </w:r>
      <w:proofErr w:type="spellEnd"/>
      <w:r w:rsidR="0062188E" w:rsidRPr="00B14ED8">
        <w:rPr>
          <w:rFonts w:ascii="Times New Roman" w:eastAsia="Times New Roman" w:hAnsi="Times New Roman" w:cs="Times New Roman"/>
          <w:bCs/>
          <w:sz w:val="24"/>
          <w:szCs w:val="24"/>
          <w:lang w:val="en-US"/>
        </w:rPr>
        <w:t xml:space="preserve"> yang </w:t>
      </w:r>
      <w:proofErr w:type="spellStart"/>
      <w:r w:rsidR="0062188E" w:rsidRPr="00B14ED8">
        <w:rPr>
          <w:rFonts w:ascii="Times New Roman" w:eastAsia="Times New Roman" w:hAnsi="Times New Roman" w:cs="Times New Roman"/>
          <w:bCs/>
          <w:sz w:val="24"/>
          <w:szCs w:val="24"/>
          <w:lang w:val="en-US"/>
        </w:rPr>
        <w:t>diteliti</w:t>
      </w:r>
      <w:proofErr w:type="spellEnd"/>
      <w:r w:rsidR="0062188E" w:rsidRPr="00B14ED8">
        <w:rPr>
          <w:rFonts w:ascii="Times New Roman" w:eastAsia="Times New Roman" w:hAnsi="Times New Roman" w:cs="Times New Roman"/>
          <w:bCs/>
          <w:sz w:val="24"/>
          <w:szCs w:val="24"/>
          <w:lang w:val="en-US"/>
        </w:rPr>
        <w:t xml:space="preserve"> </w:t>
      </w:r>
      <w:proofErr w:type="spellStart"/>
      <w:r w:rsidR="0062188E" w:rsidRPr="00B14ED8">
        <w:rPr>
          <w:rFonts w:ascii="Times New Roman" w:eastAsia="Times New Roman" w:hAnsi="Times New Roman" w:cs="Times New Roman"/>
          <w:bCs/>
          <w:sz w:val="24"/>
          <w:szCs w:val="24"/>
          <w:lang w:val="en-US"/>
        </w:rPr>
        <w:t>sampai</w:t>
      </w:r>
      <w:proofErr w:type="spellEnd"/>
      <w:r w:rsidR="0062188E" w:rsidRPr="00B14ED8">
        <w:rPr>
          <w:rFonts w:ascii="Times New Roman" w:eastAsia="Times New Roman" w:hAnsi="Times New Roman" w:cs="Times New Roman"/>
          <w:bCs/>
          <w:sz w:val="24"/>
          <w:szCs w:val="24"/>
          <w:lang w:val="en-US"/>
        </w:rPr>
        <w:t xml:space="preserve"> </w:t>
      </w:r>
      <w:proofErr w:type="spellStart"/>
      <w:r w:rsidR="0062188E" w:rsidRPr="00B14ED8">
        <w:rPr>
          <w:rFonts w:ascii="Times New Roman" w:eastAsia="Times New Roman" w:hAnsi="Times New Roman" w:cs="Times New Roman"/>
          <w:bCs/>
          <w:sz w:val="24"/>
          <w:szCs w:val="24"/>
          <w:lang w:val="en-US"/>
        </w:rPr>
        <w:t>dengan</w:t>
      </w:r>
      <w:proofErr w:type="spellEnd"/>
      <w:r w:rsidR="0062188E" w:rsidRPr="00B14ED8">
        <w:rPr>
          <w:rFonts w:ascii="Times New Roman" w:eastAsia="Times New Roman" w:hAnsi="Times New Roman" w:cs="Times New Roman"/>
          <w:bCs/>
          <w:sz w:val="24"/>
          <w:szCs w:val="24"/>
          <w:lang w:val="en-US"/>
        </w:rPr>
        <w:t xml:space="preserve"> </w:t>
      </w:r>
      <w:proofErr w:type="spellStart"/>
      <w:r w:rsidR="0062188E" w:rsidRPr="00B14ED8">
        <w:rPr>
          <w:rFonts w:ascii="Times New Roman" w:eastAsia="Times New Roman" w:hAnsi="Times New Roman" w:cs="Times New Roman"/>
          <w:bCs/>
          <w:sz w:val="24"/>
          <w:szCs w:val="24"/>
          <w:lang w:val="en-US"/>
        </w:rPr>
        <w:t>bulan</w:t>
      </w:r>
      <w:proofErr w:type="spellEnd"/>
      <w:r w:rsidR="0062188E" w:rsidRPr="00B14ED8">
        <w:rPr>
          <w:rFonts w:ascii="Times New Roman" w:eastAsia="Times New Roman" w:hAnsi="Times New Roman" w:cs="Times New Roman"/>
          <w:bCs/>
          <w:sz w:val="24"/>
          <w:szCs w:val="24"/>
          <w:lang w:val="en-US"/>
        </w:rPr>
        <w:t xml:space="preserve"> </w:t>
      </w:r>
      <w:proofErr w:type="spellStart"/>
      <w:r w:rsidR="0062188E" w:rsidRPr="00B14ED8">
        <w:rPr>
          <w:rFonts w:ascii="Times New Roman" w:eastAsia="Times New Roman" w:hAnsi="Times New Roman" w:cs="Times New Roman"/>
          <w:bCs/>
          <w:sz w:val="24"/>
          <w:szCs w:val="24"/>
          <w:lang w:val="en-US"/>
        </w:rPr>
        <w:t>Februari</w:t>
      </w:r>
      <w:proofErr w:type="spellEnd"/>
      <w:r w:rsidR="0062188E" w:rsidRPr="00B14ED8">
        <w:rPr>
          <w:rFonts w:ascii="Times New Roman" w:eastAsia="Times New Roman" w:hAnsi="Times New Roman" w:cs="Times New Roman"/>
          <w:bCs/>
          <w:sz w:val="24"/>
          <w:szCs w:val="24"/>
          <w:lang w:val="en-US"/>
        </w:rPr>
        <w:t xml:space="preserve"> 2024 </w:t>
      </w:r>
      <w:proofErr w:type="spellStart"/>
      <w:r w:rsidR="0062188E" w:rsidRPr="00B14ED8">
        <w:rPr>
          <w:rFonts w:ascii="Times New Roman" w:eastAsia="Times New Roman" w:hAnsi="Times New Roman" w:cs="Times New Roman"/>
          <w:bCs/>
          <w:sz w:val="24"/>
          <w:szCs w:val="24"/>
          <w:lang w:val="en-US"/>
        </w:rPr>
        <w:t>masih</w:t>
      </w:r>
      <w:proofErr w:type="spellEnd"/>
      <w:r w:rsidR="0062188E" w:rsidRPr="00B14ED8">
        <w:rPr>
          <w:rFonts w:ascii="Times New Roman" w:eastAsia="Times New Roman" w:hAnsi="Times New Roman" w:cs="Times New Roman"/>
          <w:bCs/>
          <w:sz w:val="24"/>
          <w:szCs w:val="24"/>
          <w:lang w:val="en-US"/>
        </w:rPr>
        <w:t xml:space="preserve"> </w:t>
      </w:r>
      <w:proofErr w:type="spellStart"/>
      <w:r w:rsidR="0062188E" w:rsidRPr="00B14ED8">
        <w:rPr>
          <w:rFonts w:ascii="Times New Roman" w:eastAsia="Times New Roman" w:hAnsi="Times New Roman" w:cs="Times New Roman"/>
          <w:bCs/>
          <w:sz w:val="24"/>
          <w:szCs w:val="24"/>
          <w:lang w:val="en-US"/>
        </w:rPr>
        <w:t>belum</w:t>
      </w:r>
      <w:proofErr w:type="spellEnd"/>
      <w:r w:rsidR="0062188E" w:rsidRPr="00B14ED8">
        <w:rPr>
          <w:rFonts w:ascii="Times New Roman" w:eastAsia="Times New Roman" w:hAnsi="Times New Roman" w:cs="Times New Roman"/>
          <w:bCs/>
          <w:sz w:val="24"/>
          <w:szCs w:val="24"/>
          <w:lang w:val="en-US"/>
        </w:rPr>
        <w:t xml:space="preserve"> </w:t>
      </w:r>
      <w:proofErr w:type="spellStart"/>
      <w:r w:rsidR="0062188E" w:rsidRPr="00B14ED8">
        <w:rPr>
          <w:rFonts w:ascii="Times New Roman" w:eastAsia="Times New Roman" w:hAnsi="Times New Roman" w:cs="Times New Roman"/>
          <w:bCs/>
          <w:sz w:val="24"/>
          <w:szCs w:val="24"/>
          <w:lang w:val="en-US"/>
        </w:rPr>
        <w:t>menerbitkan</w:t>
      </w:r>
      <w:proofErr w:type="spellEnd"/>
      <w:r w:rsidR="0062188E" w:rsidRPr="00B14ED8">
        <w:rPr>
          <w:rFonts w:ascii="Times New Roman" w:eastAsia="Times New Roman" w:hAnsi="Times New Roman" w:cs="Times New Roman"/>
          <w:bCs/>
          <w:sz w:val="24"/>
          <w:szCs w:val="24"/>
          <w:lang w:val="en-US"/>
        </w:rPr>
        <w:t xml:space="preserve"> </w:t>
      </w:r>
      <w:proofErr w:type="spellStart"/>
      <w:r w:rsidR="0062188E" w:rsidRPr="00B14ED8">
        <w:rPr>
          <w:rFonts w:ascii="Times New Roman" w:eastAsia="Times New Roman" w:hAnsi="Times New Roman" w:cs="Times New Roman"/>
          <w:bCs/>
          <w:sz w:val="24"/>
          <w:szCs w:val="24"/>
          <w:lang w:val="en-US"/>
        </w:rPr>
        <w:t>laporan</w:t>
      </w:r>
      <w:proofErr w:type="spellEnd"/>
      <w:r w:rsidR="0062188E" w:rsidRPr="00B14ED8">
        <w:rPr>
          <w:rFonts w:ascii="Times New Roman" w:eastAsia="Times New Roman" w:hAnsi="Times New Roman" w:cs="Times New Roman"/>
          <w:bCs/>
          <w:sz w:val="24"/>
          <w:szCs w:val="24"/>
          <w:lang w:val="en-US"/>
        </w:rPr>
        <w:t xml:space="preserve"> </w:t>
      </w:r>
      <w:proofErr w:type="spellStart"/>
      <w:r w:rsidR="0062188E" w:rsidRPr="00B14ED8">
        <w:rPr>
          <w:rFonts w:ascii="Times New Roman" w:eastAsia="Times New Roman" w:hAnsi="Times New Roman" w:cs="Times New Roman"/>
          <w:bCs/>
          <w:sz w:val="24"/>
          <w:szCs w:val="24"/>
          <w:lang w:val="en-US"/>
        </w:rPr>
        <w:t>tahunan</w:t>
      </w:r>
      <w:proofErr w:type="spellEnd"/>
      <w:r w:rsidR="0062188E" w:rsidRPr="00B14ED8">
        <w:rPr>
          <w:rFonts w:ascii="Times New Roman" w:eastAsia="Times New Roman" w:hAnsi="Times New Roman" w:cs="Times New Roman"/>
          <w:bCs/>
          <w:sz w:val="24"/>
          <w:szCs w:val="24"/>
          <w:lang w:val="en-US"/>
        </w:rPr>
        <w:t xml:space="preserve"> </w:t>
      </w:r>
      <w:proofErr w:type="spellStart"/>
      <w:r w:rsidR="0062188E" w:rsidRPr="00B14ED8">
        <w:rPr>
          <w:rFonts w:ascii="Times New Roman" w:eastAsia="Times New Roman" w:hAnsi="Times New Roman" w:cs="Times New Roman"/>
          <w:bCs/>
          <w:sz w:val="24"/>
          <w:szCs w:val="24"/>
          <w:lang w:val="en-US"/>
        </w:rPr>
        <w:t>untuk</w:t>
      </w:r>
      <w:proofErr w:type="spellEnd"/>
      <w:r w:rsidR="0062188E" w:rsidRPr="00B14ED8">
        <w:rPr>
          <w:rFonts w:ascii="Times New Roman" w:eastAsia="Times New Roman" w:hAnsi="Times New Roman" w:cs="Times New Roman"/>
          <w:bCs/>
          <w:sz w:val="24"/>
          <w:szCs w:val="24"/>
          <w:lang w:val="en-US"/>
        </w:rPr>
        <w:t xml:space="preserve"> </w:t>
      </w:r>
      <w:proofErr w:type="spellStart"/>
      <w:r w:rsidR="0062188E" w:rsidRPr="00B14ED8">
        <w:rPr>
          <w:rFonts w:ascii="Times New Roman" w:eastAsia="Times New Roman" w:hAnsi="Times New Roman" w:cs="Times New Roman"/>
          <w:bCs/>
          <w:sz w:val="24"/>
          <w:szCs w:val="24"/>
          <w:lang w:val="en-US"/>
        </w:rPr>
        <w:t>tahun</w:t>
      </w:r>
      <w:proofErr w:type="spellEnd"/>
      <w:r w:rsidR="0062188E" w:rsidRPr="00B14ED8">
        <w:rPr>
          <w:rFonts w:ascii="Times New Roman" w:eastAsia="Times New Roman" w:hAnsi="Times New Roman" w:cs="Times New Roman"/>
          <w:bCs/>
          <w:sz w:val="24"/>
          <w:szCs w:val="24"/>
          <w:lang w:val="en-US"/>
        </w:rPr>
        <w:t xml:space="preserve"> 2023.</w:t>
      </w:r>
    </w:p>
    <w:p w14:paraId="7DFCB70C" w14:textId="54B766FF" w:rsidR="001257EB" w:rsidRPr="00B14ED8" w:rsidRDefault="001257EB" w:rsidP="00B14ED8">
      <w:pPr>
        <w:numPr>
          <w:ilvl w:val="0"/>
          <w:numId w:val="13"/>
        </w:numPr>
        <w:spacing w:after="0" w:line="360" w:lineRule="auto"/>
        <w:ind w:left="993" w:hanging="284"/>
        <w:jc w:val="both"/>
        <w:rPr>
          <w:rFonts w:ascii="Times New Roman" w:eastAsia="Times New Roman" w:hAnsi="Times New Roman" w:cs="Times New Roman"/>
          <w:bCs/>
          <w:sz w:val="24"/>
          <w:szCs w:val="24"/>
          <w:lang w:val="en-US"/>
        </w:rPr>
      </w:pPr>
      <w:r w:rsidRPr="00B14ED8">
        <w:rPr>
          <w:rFonts w:ascii="Times New Roman" w:eastAsia="Times New Roman" w:hAnsi="Times New Roman" w:cs="Times New Roman"/>
          <w:bCs/>
          <w:sz w:val="24"/>
          <w:szCs w:val="24"/>
          <w:lang w:val="en-US"/>
        </w:rPr>
        <w:t xml:space="preserve">Perusahaan </w:t>
      </w:r>
      <w:proofErr w:type="spellStart"/>
      <w:r w:rsidRPr="00B14ED8">
        <w:rPr>
          <w:rFonts w:ascii="Times New Roman" w:eastAsia="Times New Roman" w:hAnsi="Times New Roman" w:cs="Times New Roman"/>
          <w:bCs/>
          <w:sz w:val="24"/>
          <w:szCs w:val="24"/>
          <w:lang w:val="en-US"/>
        </w:rPr>
        <w:t>tersebut</w:t>
      </w:r>
      <w:proofErr w:type="spellEnd"/>
      <w:r w:rsidRPr="00B14ED8">
        <w:rPr>
          <w:rFonts w:ascii="Times New Roman" w:eastAsia="Times New Roman" w:hAnsi="Times New Roman" w:cs="Times New Roman"/>
          <w:bCs/>
          <w:sz w:val="24"/>
          <w:szCs w:val="24"/>
          <w:lang w:val="en-US"/>
        </w:rPr>
        <w:t xml:space="preserve"> </w:t>
      </w:r>
      <w:proofErr w:type="spellStart"/>
      <w:r w:rsidRPr="00B14ED8">
        <w:rPr>
          <w:rFonts w:ascii="Times New Roman" w:eastAsia="Times New Roman" w:hAnsi="Times New Roman" w:cs="Times New Roman"/>
          <w:bCs/>
          <w:sz w:val="24"/>
          <w:szCs w:val="24"/>
          <w:lang w:val="en-US"/>
        </w:rPr>
        <w:t>mencantumkan</w:t>
      </w:r>
      <w:proofErr w:type="spellEnd"/>
      <w:r w:rsidRPr="00B14ED8">
        <w:rPr>
          <w:rFonts w:ascii="Times New Roman" w:eastAsia="Times New Roman" w:hAnsi="Times New Roman" w:cs="Times New Roman"/>
          <w:bCs/>
          <w:sz w:val="24"/>
          <w:szCs w:val="24"/>
          <w:lang w:val="en-US"/>
        </w:rPr>
        <w:t xml:space="preserve"> </w:t>
      </w:r>
      <w:proofErr w:type="spellStart"/>
      <w:r w:rsidRPr="00B14ED8">
        <w:rPr>
          <w:rFonts w:ascii="Times New Roman" w:eastAsia="Times New Roman" w:hAnsi="Times New Roman" w:cs="Times New Roman"/>
          <w:bCs/>
          <w:sz w:val="24"/>
          <w:szCs w:val="24"/>
          <w:lang w:val="en-US"/>
        </w:rPr>
        <w:t>seluruh</w:t>
      </w:r>
      <w:proofErr w:type="spellEnd"/>
      <w:r w:rsidRPr="00B14ED8">
        <w:rPr>
          <w:rFonts w:ascii="Times New Roman" w:eastAsia="Times New Roman" w:hAnsi="Times New Roman" w:cs="Times New Roman"/>
          <w:bCs/>
          <w:sz w:val="24"/>
          <w:szCs w:val="24"/>
          <w:lang w:val="en-US"/>
        </w:rPr>
        <w:t xml:space="preserve"> </w:t>
      </w:r>
      <w:proofErr w:type="spellStart"/>
      <w:r w:rsidRPr="00B14ED8">
        <w:rPr>
          <w:rFonts w:ascii="Times New Roman" w:eastAsia="Times New Roman" w:hAnsi="Times New Roman" w:cs="Times New Roman"/>
          <w:bCs/>
          <w:sz w:val="24"/>
          <w:szCs w:val="24"/>
          <w:lang w:val="en-US"/>
        </w:rPr>
        <w:t>indikator</w:t>
      </w:r>
      <w:proofErr w:type="spellEnd"/>
      <w:r w:rsidRPr="00B14ED8">
        <w:rPr>
          <w:rFonts w:ascii="Times New Roman" w:eastAsia="Times New Roman" w:hAnsi="Times New Roman" w:cs="Times New Roman"/>
          <w:bCs/>
          <w:sz w:val="24"/>
          <w:szCs w:val="24"/>
          <w:lang w:val="en-US"/>
        </w:rPr>
        <w:t xml:space="preserve"> </w:t>
      </w:r>
      <w:proofErr w:type="spellStart"/>
      <w:r w:rsidRPr="00B14ED8">
        <w:rPr>
          <w:rFonts w:ascii="Times New Roman" w:eastAsia="Times New Roman" w:hAnsi="Times New Roman" w:cs="Times New Roman"/>
          <w:bCs/>
          <w:sz w:val="24"/>
          <w:szCs w:val="24"/>
          <w:lang w:val="en-US"/>
        </w:rPr>
        <w:t>variabel</w:t>
      </w:r>
      <w:proofErr w:type="spellEnd"/>
      <w:r w:rsidRPr="00B14ED8">
        <w:rPr>
          <w:rFonts w:ascii="Times New Roman" w:eastAsia="Times New Roman" w:hAnsi="Times New Roman" w:cs="Times New Roman"/>
          <w:bCs/>
          <w:sz w:val="24"/>
          <w:szCs w:val="24"/>
          <w:lang w:val="en-US"/>
        </w:rPr>
        <w:t xml:space="preserve"> </w:t>
      </w:r>
      <w:proofErr w:type="spellStart"/>
      <w:r w:rsidRPr="00B14ED8">
        <w:rPr>
          <w:rFonts w:ascii="Times New Roman" w:eastAsia="Times New Roman" w:hAnsi="Times New Roman" w:cs="Times New Roman"/>
          <w:bCs/>
          <w:sz w:val="24"/>
          <w:szCs w:val="24"/>
          <w:lang w:val="en-US"/>
        </w:rPr>
        <w:t>penelitian</w:t>
      </w:r>
      <w:proofErr w:type="spellEnd"/>
      <w:r w:rsidR="00D73D67" w:rsidRPr="00B14ED8">
        <w:rPr>
          <w:rFonts w:ascii="Times New Roman" w:eastAsia="Times New Roman" w:hAnsi="Times New Roman" w:cs="Times New Roman"/>
          <w:bCs/>
          <w:sz w:val="24"/>
          <w:szCs w:val="24"/>
          <w:lang w:val="en-US"/>
        </w:rPr>
        <w:t xml:space="preserve"> di </w:t>
      </w:r>
      <w:proofErr w:type="spellStart"/>
      <w:r w:rsidR="00D73D67" w:rsidRPr="00B14ED8">
        <w:rPr>
          <w:rFonts w:ascii="Times New Roman" w:eastAsia="Times New Roman" w:hAnsi="Times New Roman" w:cs="Times New Roman"/>
          <w:bCs/>
          <w:sz w:val="24"/>
          <w:szCs w:val="24"/>
          <w:lang w:val="en-US"/>
        </w:rPr>
        <w:t>dalam</w:t>
      </w:r>
      <w:proofErr w:type="spellEnd"/>
      <w:r w:rsidR="00D73D67" w:rsidRPr="00B14ED8">
        <w:rPr>
          <w:rFonts w:ascii="Times New Roman" w:eastAsia="Times New Roman" w:hAnsi="Times New Roman" w:cs="Times New Roman"/>
          <w:bCs/>
          <w:sz w:val="24"/>
          <w:szCs w:val="24"/>
          <w:lang w:val="en-US"/>
        </w:rPr>
        <w:t xml:space="preserve"> </w:t>
      </w:r>
      <w:proofErr w:type="spellStart"/>
      <w:r w:rsidR="00D73D67" w:rsidRPr="00B14ED8">
        <w:rPr>
          <w:rFonts w:ascii="Times New Roman" w:eastAsia="Times New Roman" w:hAnsi="Times New Roman" w:cs="Times New Roman"/>
          <w:bCs/>
          <w:sz w:val="24"/>
          <w:szCs w:val="24"/>
          <w:lang w:val="en-US"/>
        </w:rPr>
        <w:t>laporan</w:t>
      </w:r>
      <w:proofErr w:type="spellEnd"/>
      <w:r w:rsidR="00D73D67" w:rsidRPr="00B14ED8">
        <w:rPr>
          <w:rFonts w:ascii="Times New Roman" w:eastAsia="Times New Roman" w:hAnsi="Times New Roman" w:cs="Times New Roman"/>
          <w:bCs/>
          <w:sz w:val="24"/>
          <w:szCs w:val="24"/>
          <w:lang w:val="en-US"/>
        </w:rPr>
        <w:t xml:space="preserve"> </w:t>
      </w:r>
      <w:proofErr w:type="spellStart"/>
      <w:r w:rsidR="00D73D67" w:rsidRPr="00B14ED8">
        <w:rPr>
          <w:rFonts w:ascii="Times New Roman" w:eastAsia="Times New Roman" w:hAnsi="Times New Roman" w:cs="Times New Roman"/>
          <w:bCs/>
          <w:sz w:val="24"/>
          <w:szCs w:val="24"/>
          <w:lang w:val="en-US"/>
        </w:rPr>
        <w:t>tahunan</w:t>
      </w:r>
      <w:proofErr w:type="spellEnd"/>
      <w:r w:rsidR="00C4217F" w:rsidRPr="00B14ED8">
        <w:rPr>
          <w:rFonts w:ascii="Times New Roman" w:eastAsia="Times New Roman" w:hAnsi="Times New Roman" w:cs="Times New Roman"/>
          <w:bCs/>
          <w:sz w:val="24"/>
          <w:szCs w:val="24"/>
          <w:lang w:val="en-US"/>
        </w:rPr>
        <w:t xml:space="preserve"> yang </w:t>
      </w:r>
      <w:proofErr w:type="spellStart"/>
      <w:r w:rsidR="00C4217F" w:rsidRPr="00B14ED8">
        <w:rPr>
          <w:rFonts w:ascii="Times New Roman" w:eastAsia="Times New Roman" w:hAnsi="Times New Roman" w:cs="Times New Roman"/>
          <w:bCs/>
          <w:sz w:val="24"/>
          <w:szCs w:val="24"/>
          <w:lang w:val="en-US"/>
        </w:rPr>
        <w:t>diterbitkan</w:t>
      </w:r>
      <w:proofErr w:type="spellEnd"/>
      <w:r w:rsidRPr="00B14ED8">
        <w:rPr>
          <w:rFonts w:ascii="Times New Roman" w:eastAsia="Times New Roman" w:hAnsi="Times New Roman" w:cs="Times New Roman"/>
          <w:bCs/>
          <w:sz w:val="24"/>
          <w:szCs w:val="24"/>
          <w:lang w:val="en-US"/>
        </w:rPr>
        <w:t>.</w:t>
      </w:r>
    </w:p>
    <w:p w14:paraId="0A6C6BE1" w14:textId="77777777" w:rsidR="00900419" w:rsidRPr="00B14ED8" w:rsidRDefault="00AD7389" w:rsidP="00B14ED8">
      <w:pPr>
        <w:tabs>
          <w:tab w:val="left" w:pos="567"/>
        </w:tabs>
        <w:spacing w:after="0" w:line="360" w:lineRule="auto"/>
        <w:ind w:firstLine="567"/>
        <w:jc w:val="both"/>
        <w:rPr>
          <w:rFonts w:ascii="Times New Roman" w:eastAsia="Times New Roman" w:hAnsi="Times New Roman" w:cs="Times New Roman"/>
          <w:sz w:val="24"/>
          <w:szCs w:val="24"/>
        </w:rPr>
      </w:pPr>
      <w:r w:rsidRPr="00B14ED8">
        <w:rPr>
          <w:rFonts w:ascii="Times New Roman" w:eastAsia="Times New Roman" w:hAnsi="Times New Roman" w:cs="Times New Roman"/>
          <w:sz w:val="24"/>
          <w:szCs w:val="24"/>
        </w:rPr>
        <w:t xml:space="preserve">Dari </w:t>
      </w:r>
      <w:proofErr w:type="spellStart"/>
      <w:r w:rsidRPr="00B14ED8">
        <w:rPr>
          <w:rFonts w:ascii="Times New Roman" w:eastAsia="Times New Roman" w:hAnsi="Times New Roman" w:cs="Times New Roman"/>
          <w:sz w:val="24"/>
          <w:szCs w:val="24"/>
        </w:rPr>
        <w:t>hasil</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observasi</w:t>
      </w:r>
      <w:proofErr w:type="spellEnd"/>
      <w:r w:rsidRPr="00B14ED8">
        <w:rPr>
          <w:rFonts w:ascii="Times New Roman" w:eastAsia="Times New Roman" w:hAnsi="Times New Roman" w:cs="Times New Roman"/>
          <w:sz w:val="24"/>
          <w:szCs w:val="24"/>
        </w:rPr>
        <w:t xml:space="preserve"> yang </w:t>
      </w:r>
      <w:proofErr w:type="spellStart"/>
      <w:r w:rsidRPr="00B14ED8">
        <w:rPr>
          <w:rFonts w:ascii="Times New Roman" w:eastAsia="Times New Roman" w:hAnsi="Times New Roman" w:cs="Times New Roman"/>
          <w:sz w:val="24"/>
          <w:szCs w:val="24"/>
        </w:rPr>
        <w:t>dilakukan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peneliti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terbukti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terdapat</w:t>
      </w:r>
      <w:proofErr w:type="spellEnd"/>
      <w:r w:rsidRPr="00B14ED8">
        <w:rPr>
          <w:rFonts w:ascii="Times New Roman" w:eastAsia="Times New Roman" w:hAnsi="Times New Roman" w:cs="Times New Roman"/>
          <w:sz w:val="24"/>
          <w:szCs w:val="24"/>
        </w:rPr>
        <w:t xml:space="preserve"> 11 </w:t>
      </w:r>
      <w:proofErr w:type="spellStart"/>
      <w:r w:rsidRPr="00B14ED8">
        <w:rPr>
          <w:rFonts w:ascii="Times New Roman" w:eastAsia="Times New Roman" w:hAnsi="Times New Roman" w:cs="Times New Roman"/>
          <w:sz w:val="24"/>
          <w:szCs w:val="24"/>
        </w:rPr>
        <w:t>sampel</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perbankan</w:t>
      </w:r>
      <w:proofErr w:type="spellEnd"/>
      <w:r w:rsidRPr="00B14ED8">
        <w:rPr>
          <w:rFonts w:ascii="Times New Roman" w:eastAsia="Times New Roman" w:hAnsi="Times New Roman" w:cs="Times New Roman"/>
          <w:sz w:val="24"/>
          <w:szCs w:val="24"/>
        </w:rPr>
        <w:t xml:space="preserve"> yang </w:t>
      </w:r>
      <w:proofErr w:type="spellStart"/>
      <w:r w:rsidRPr="00B14ED8">
        <w:rPr>
          <w:rFonts w:ascii="Times New Roman" w:eastAsia="Times New Roman" w:hAnsi="Times New Roman" w:cs="Times New Roman"/>
          <w:sz w:val="24"/>
          <w:szCs w:val="24"/>
        </w:rPr>
        <w:t>memenuhi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kriteria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sampel</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sehingga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jumlah</w:t>
      </w:r>
      <w:proofErr w:type="spellEnd"/>
      <w:r w:rsidRPr="00B14ED8">
        <w:rPr>
          <w:rFonts w:ascii="Times New Roman" w:eastAsia="Times New Roman" w:hAnsi="Times New Roman" w:cs="Times New Roman"/>
          <w:sz w:val="24"/>
          <w:szCs w:val="24"/>
        </w:rPr>
        <w:t xml:space="preserve"> data yang </w:t>
      </w:r>
      <w:proofErr w:type="spellStart"/>
      <w:r w:rsidRPr="00B14ED8">
        <w:rPr>
          <w:rFonts w:ascii="Times New Roman" w:eastAsia="Times New Roman" w:hAnsi="Times New Roman" w:cs="Times New Roman"/>
          <w:sz w:val="24"/>
          <w:szCs w:val="24"/>
        </w:rPr>
        <w:t>diteliti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sebanyak</w:t>
      </w:r>
      <w:proofErr w:type="spellEnd"/>
      <w:r w:rsidRPr="00B14ED8">
        <w:rPr>
          <w:rFonts w:ascii="Times New Roman" w:eastAsia="Times New Roman" w:hAnsi="Times New Roman" w:cs="Times New Roman"/>
          <w:sz w:val="24"/>
          <w:szCs w:val="24"/>
        </w:rPr>
        <w:t xml:space="preserve"> </w:t>
      </w:r>
      <w:r w:rsidR="00533C9B" w:rsidRPr="00B14ED8">
        <w:rPr>
          <w:rFonts w:ascii="Times New Roman" w:eastAsia="Times New Roman" w:hAnsi="Times New Roman" w:cs="Times New Roman"/>
          <w:sz w:val="24"/>
          <w:szCs w:val="24"/>
        </w:rPr>
        <w:t>66</w:t>
      </w:r>
      <w:r w:rsidRPr="00B14ED8">
        <w:rPr>
          <w:rFonts w:ascii="Times New Roman" w:eastAsia="Times New Roman" w:hAnsi="Times New Roman" w:cs="Times New Roman"/>
          <w:sz w:val="24"/>
          <w:szCs w:val="24"/>
        </w:rPr>
        <w:t xml:space="preserve"> data</w:t>
      </w:r>
      <w:r w:rsidR="002D5C80" w:rsidRPr="00B14ED8">
        <w:rPr>
          <w:rFonts w:ascii="Times New Roman" w:eastAsia="Times New Roman" w:hAnsi="Times New Roman" w:cs="Times New Roman"/>
          <w:sz w:val="24"/>
          <w:szCs w:val="24"/>
        </w:rPr>
        <w:t>.</w:t>
      </w:r>
      <w:r w:rsidR="00900419" w:rsidRPr="00B14ED8">
        <w:rPr>
          <w:rFonts w:ascii="Times New Roman" w:eastAsia="Times New Roman" w:hAnsi="Times New Roman" w:cs="Times New Roman"/>
          <w:sz w:val="24"/>
          <w:szCs w:val="24"/>
        </w:rPr>
        <w:t xml:space="preserve"> </w:t>
      </w:r>
      <w:proofErr w:type="spellStart"/>
      <w:r w:rsidR="00900419" w:rsidRPr="00B14ED8">
        <w:rPr>
          <w:rFonts w:ascii="Times New Roman" w:eastAsia="Times New Roman" w:hAnsi="Times New Roman" w:cs="Times New Roman"/>
          <w:sz w:val="24"/>
          <w:szCs w:val="24"/>
        </w:rPr>
        <w:t>Untuk</w:t>
      </w:r>
      <w:proofErr w:type="spellEnd"/>
      <w:r w:rsidR="00900419" w:rsidRPr="00B14ED8">
        <w:rPr>
          <w:rFonts w:ascii="Times New Roman" w:eastAsia="Times New Roman" w:hAnsi="Times New Roman" w:cs="Times New Roman"/>
          <w:sz w:val="24"/>
          <w:szCs w:val="24"/>
        </w:rPr>
        <w:t xml:space="preserve"> </w:t>
      </w:r>
      <w:proofErr w:type="spellStart"/>
      <w:r w:rsidR="00900419" w:rsidRPr="00B14ED8">
        <w:rPr>
          <w:rFonts w:ascii="Times New Roman" w:eastAsia="Times New Roman" w:hAnsi="Times New Roman" w:cs="Times New Roman"/>
          <w:sz w:val="24"/>
          <w:szCs w:val="24"/>
        </w:rPr>
        <w:t>keterangan</w:t>
      </w:r>
      <w:proofErr w:type="spellEnd"/>
      <w:r w:rsidR="00900419" w:rsidRPr="00B14ED8">
        <w:rPr>
          <w:rFonts w:ascii="Times New Roman" w:eastAsia="Times New Roman" w:hAnsi="Times New Roman" w:cs="Times New Roman"/>
          <w:sz w:val="24"/>
          <w:szCs w:val="24"/>
        </w:rPr>
        <w:t xml:space="preserve"> </w:t>
      </w:r>
      <w:proofErr w:type="spellStart"/>
      <w:r w:rsidR="00900419" w:rsidRPr="00B14ED8">
        <w:rPr>
          <w:rFonts w:ascii="Times New Roman" w:eastAsia="Times New Roman" w:hAnsi="Times New Roman" w:cs="Times New Roman"/>
          <w:sz w:val="24"/>
          <w:szCs w:val="24"/>
        </w:rPr>
        <w:t>terkait</w:t>
      </w:r>
      <w:proofErr w:type="spellEnd"/>
      <w:r w:rsidR="00900419" w:rsidRPr="00B14ED8">
        <w:rPr>
          <w:rFonts w:ascii="Times New Roman" w:eastAsia="Times New Roman" w:hAnsi="Times New Roman" w:cs="Times New Roman"/>
          <w:sz w:val="24"/>
          <w:szCs w:val="24"/>
        </w:rPr>
        <w:t xml:space="preserve"> </w:t>
      </w:r>
      <w:proofErr w:type="spellStart"/>
      <w:r w:rsidR="00900419" w:rsidRPr="00B14ED8">
        <w:rPr>
          <w:rFonts w:ascii="Times New Roman" w:eastAsia="Times New Roman" w:hAnsi="Times New Roman" w:cs="Times New Roman"/>
          <w:sz w:val="24"/>
          <w:szCs w:val="24"/>
        </w:rPr>
        <w:t>sampel</w:t>
      </w:r>
      <w:proofErr w:type="spellEnd"/>
      <w:r w:rsidR="00900419" w:rsidRPr="00B14ED8">
        <w:rPr>
          <w:rFonts w:ascii="Times New Roman" w:eastAsia="Times New Roman" w:hAnsi="Times New Roman" w:cs="Times New Roman"/>
          <w:sz w:val="24"/>
          <w:szCs w:val="24"/>
        </w:rPr>
        <w:t xml:space="preserve"> bank </w:t>
      </w:r>
      <w:proofErr w:type="spellStart"/>
      <w:r w:rsidR="00900419" w:rsidRPr="00B14ED8">
        <w:rPr>
          <w:rFonts w:ascii="Times New Roman" w:eastAsia="Times New Roman" w:hAnsi="Times New Roman" w:cs="Times New Roman"/>
          <w:sz w:val="24"/>
          <w:szCs w:val="24"/>
        </w:rPr>
        <w:t>penelitian</w:t>
      </w:r>
      <w:proofErr w:type="spellEnd"/>
      <w:r w:rsidR="00900419" w:rsidRPr="00B14ED8">
        <w:rPr>
          <w:rFonts w:ascii="Times New Roman" w:eastAsia="Times New Roman" w:hAnsi="Times New Roman" w:cs="Times New Roman"/>
          <w:sz w:val="24"/>
          <w:szCs w:val="24"/>
        </w:rPr>
        <w:t xml:space="preserve"> </w:t>
      </w:r>
      <w:proofErr w:type="spellStart"/>
      <w:r w:rsidR="00900419" w:rsidRPr="00B14ED8">
        <w:rPr>
          <w:rFonts w:ascii="Times New Roman" w:eastAsia="Times New Roman" w:hAnsi="Times New Roman" w:cs="Times New Roman"/>
          <w:sz w:val="24"/>
          <w:szCs w:val="24"/>
        </w:rPr>
        <w:t>dijelaskan</w:t>
      </w:r>
      <w:proofErr w:type="spellEnd"/>
      <w:r w:rsidR="00900419" w:rsidRPr="00B14ED8">
        <w:rPr>
          <w:rFonts w:ascii="Times New Roman" w:eastAsia="Times New Roman" w:hAnsi="Times New Roman" w:cs="Times New Roman"/>
          <w:sz w:val="24"/>
          <w:szCs w:val="24"/>
        </w:rPr>
        <w:t xml:space="preserve"> pada </w:t>
      </w:r>
      <w:proofErr w:type="spellStart"/>
      <w:r w:rsidR="00900419" w:rsidRPr="00B14ED8">
        <w:rPr>
          <w:rFonts w:ascii="Times New Roman" w:eastAsia="Times New Roman" w:hAnsi="Times New Roman" w:cs="Times New Roman"/>
          <w:sz w:val="24"/>
          <w:szCs w:val="24"/>
        </w:rPr>
        <w:t>tabel</w:t>
      </w:r>
      <w:proofErr w:type="spellEnd"/>
      <w:r w:rsidR="00900419" w:rsidRPr="00B14ED8">
        <w:rPr>
          <w:rFonts w:ascii="Times New Roman" w:eastAsia="Times New Roman" w:hAnsi="Times New Roman" w:cs="Times New Roman"/>
          <w:sz w:val="24"/>
          <w:szCs w:val="24"/>
        </w:rPr>
        <w:t xml:space="preserve"> </w:t>
      </w:r>
      <w:proofErr w:type="spellStart"/>
      <w:r w:rsidR="00900419" w:rsidRPr="00B14ED8">
        <w:rPr>
          <w:rFonts w:ascii="Times New Roman" w:eastAsia="Times New Roman" w:hAnsi="Times New Roman" w:cs="Times New Roman"/>
          <w:sz w:val="24"/>
          <w:szCs w:val="24"/>
        </w:rPr>
        <w:t>sebagai</w:t>
      </w:r>
      <w:proofErr w:type="spellEnd"/>
      <w:r w:rsidR="00900419" w:rsidRPr="00B14ED8">
        <w:rPr>
          <w:rFonts w:ascii="Times New Roman" w:eastAsia="Times New Roman" w:hAnsi="Times New Roman" w:cs="Times New Roman"/>
          <w:sz w:val="24"/>
          <w:szCs w:val="24"/>
        </w:rPr>
        <w:t xml:space="preserve"> </w:t>
      </w:r>
      <w:proofErr w:type="spellStart"/>
      <w:r w:rsidR="00900419" w:rsidRPr="00B14ED8">
        <w:rPr>
          <w:rFonts w:ascii="Times New Roman" w:eastAsia="Times New Roman" w:hAnsi="Times New Roman" w:cs="Times New Roman"/>
          <w:sz w:val="24"/>
          <w:szCs w:val="24"/>
        </w:rPr>
        <w:t>berikut</w:t>
      </w:r>
      <w:proofErr w:type="spellEnd"/>
      <w:r w:rsidR="00900419" w:rsidRPr="00B14ED8">
        <w:rPr>
          <w:rFonts w:ascii="Times New Roman" w:eastAsia="Times New Roman" w:hAnsi="Times New Roman" w:cs="Times New Roman"/>
          <w:sz w:val="24"/>
          <w:szCs w:val="24"/>
        </w:rPr>
        <w:t>:</w:t>
      </w:r>
    </w:p>
    <w:p w14:paraId="788E4DA3" w14:textId="423A4590" w:rsidR="00E41C2D" w:rsidRPr="00B14ED8" w:rsidRDefault="00E41C2D" w:rsidP="00B14ED8">
      <w:pPr>
        <w:pStyle w:val="Caption"/>
        <w:keepNext/>
        <w:spacing w:after="0" w:line="360" w:lineRule="auto"/>
        <w:jc w:val="center"/>
        <w:rPr>
          <w:rFonts w:ascii="Times New Roman" w:hAnsi="Times New Roman" w:cs="Times New Roman"/>
          <w:i w:val="0"/>
          <w:iCs w:val="0"/>
          <w:color w:val="000000" w:themeColor="text1"/>
          <w:sz w:val="24"/>
          <w:szCs w:val="24"/>
        </w:rPr>
      </w:pPr>
      <w:proofErr w:type="spellStart"/>
      <w:r w:rsidRPr="00B14ED8">
        <w:rPr>
          <w:rFonts w:ascii="Times New Roman" w:hAnsi="Times New Roman" w:cs="Times New Roman"/>
          <w:b/>
          <w:bCs/>
          <w:i w:val="0"/>
          <w:iCs w:val="0"/>
          <w:color w:val="000000" w:themeColor="text1"/>
          <w:sz w:val="24"/>
          <w:szCs w:val="24"/>
        </w:rPr>
        <w:t>Tabel</w:t>
      </w:r>
      <w:proofErr w:type="spellEnd"/>
      <w:r w:rsidRPr="00B14ED8">
        <w:rPr>
          <w:rFonts w:ascii="Times New Roman" w:hAnsi="Times New Roman" w:cs="Times New Roman"/>
          <w:b/>
          <w:bCs/>
          <w:i w:val="0"/>
          <w:iCs w:val="0"/>
          <w:color w:val="000000" w:themeColor="text1"/>
          <w:sz w:val="24"/>
          <w:szCs w:val="24"/>
        </w:rPr>
        <w:t xml:space="preserve">  </w:t>
      </w:r>
      <w:r w:rsidRPr="00B14ED8">
        <w:rPr>
          <w:rFonts w:ascii="Times New Roman" w:hAnsi="Times New Roman" w:cs="Times New Roman"/>
          <w:b/>
          <w:bCs/>
          <w:i w:val="0"/>
          <w:iCs w:val="0"/>
          <w:color w:val="000000" w:themeColor="text1"/>
          <w:sz w:val="24"/>
          <w:szCs w:val="24"/>
        </w:rPr>
        <w:fldChar w:fldCharType="begin"/>
      </w:r>
      <w:r w:rsidRPr="00B14ED8">
        <w:rPr>
          <w:rFonts w:ascii="Times New Roman" w:hAnsi="Times New Roman" w:cs="Times New Roman"/>
          <w:b/>
          <w:bCs/>
          <w:i w:val="0"/>
          <w:iCs w:val="0"/>
          <w:color w:val="000000" w:themeColor="text1"/>
          <w:sz w:val="24"/>
          <w:szCs w:val="24"/>
        </w:rPr>
        <w:instrText xml:space="preserve"> SEQ Tabel_ \* ARABIC </w:instrText>
      </w:r>
      <w:r w:rsidRPr="00B14ED8">
        <w:rPr>
          <w:rFonts w:ascii="Times New Roman" w:hAnsi="Times New Roman" w:cs="Times New Roman"/>
          <w:b/>
          <w:bCs/>
          <w:i w:val="0"/>
          <w:iCs w:val="0"/>
          <w:color w:val="000000" w:themeColor="text1"/>
          <w:sz w:val="24"/>
          <w:szCs w:val="24"/>
        </w:rPr>
        <w:fldChar w:fldCharType="separate"/>
      </w:r>
      <w:r w:rsidR="00940D99" w:rsidRPr="00B14ED8">
        <w:rPr>
          <w:rFonts w:ascii="Times New Roman" w:hAnsi="Times New Roman" w:cs="Times New Roman"/>
          <w:b/>
          <w:bCs/>
          <w:i w:val="0"/>
          <w:iCs w:val="0"/>
          <w:noProof/>
          <w:color w:val="000000" w:themeColor="text1"/>
          <w:sz w:val="24"/>
          <w:szCs w:val="24"/>
        </w:rPr>
        <w:t>1</w:t>
      </w:r>
      <w:r w:rsidRPr="00B14ED8">
        <w:rPr>
          <w:rFonts w:ascii="Times New Roman" w:hAnsi="Times New Roman" w:cs="Times New Roman"/>
          <w:b/>
          <w:bCs/>
          <w:i w:val="0"/>
          <w:iCs w:val="0"/>
          <w:color w:val="000000" w:themeColor="text1"/>
          <w:sz w:val="24"/>
          <w:szCs w:val="24"/>
        </w:rPr>
        <w:fldChar w:fldCharType="end"/>
      </w:r>
      <w:r w:rsidR="00F211ED" w:rsidRPr="00B14ED8">
        <w:rPr>
          <w:rFonts w:ascii="Times New Roman" w:hAnsi="Times New Roman" w:cs="Times New Roman"/>
          <w:b/>
          <w:bCs/>
          <w:i w:val="0"/>
          <w:iCs w:val="0"/>
          <w:color w:val="000000" w:themeColor="text1"/>
          <w:sz w:val="24"/>
          <w:szCs w:val="24"/>
        </w:rPr>
        <w:t>.</w:t>
      </w:r>
      <w:r w:rsidR="00F211ED" w:rsidRPr="00B14ED8">
        <w:rPr>
          <w:rFonts w:ascii="Times New Roman" w:hAnsi="Times New Roman" w:cs="Times New Roman"/>
          <w:i w:val="0"/>
          <w:iCs w:val="0"/>
          <w:color w:val="000000" w:themeColor="text1"/>
          <w:sz w:val="24"/>
          <w:szCs w:val="24"/>
        </w:rPr>
        <w:t xml:space="preserve"> </w:t>
      </w:r>
      <w:r w:rsidR="00A67F27" w:rsidRPr="00B14ED8">
        <w:rPr>
          <w:rFonts w:ascii="Times New Roman" w:hAnsi="Times New Roman" w:cs="Times New Roman"/>
          <w:i w:val="0"/>
          <w:iCs w:val="0"/>
          <w:color w:val="000000" w:themeColor="text1"/>
          <w:sz w:val="24"/>
          <w:szCs w:val="24"/>
        </w:rPr>
        <w:t xml:space="preserve">Data </w:t>
      </w:r>
      <w:proofErr w:type="spellStart"/>
      <w:r w:rsidR="00A67F27" w:rsidRPr="00B14ED8">
        <w:rPr>
          <w:rFonts w:ascii="Times New Roman" w:hAnsi="Times New Roman" w:cs="Times New Roman"/>
          <w:i w:val="0"/>
          <w:iCs w:val="0"/>
          <w:color w:val="000000" w:themeColor="text1"/>
          <w:sz w:val="24"/>
          <w:szCs w:val="24"/>
        </w:rPr>
        <w:t>Sampel</w:t>
      </w:r>
      <w:proofErr w:type="spellEnd"/>
      <w:r w:rsidR="00A67F27" w:rsidRPr="00B14ED8">
        <w:rPr>
          <w:rFonts w:ascii="Times New Roman" w:hAnsi="Times New Roman" w:cs="Times New Roman"/>
          <w:i w:val="0"/>
          <w:iCs w:val="0"/>
          <w:color w:val="000000" w:themeColor="text1"/>
          <w:sz w:val="24"/>
          <w:szCs w:val="24"/>
        </w:rPr>
        <w:t xml:space="preserve"> </w:t>
      </w:r>
      <w:proofErr w:type="spellStart"/>
      <w:r w:rsidR="00A67F27" w:rsidRPr="00B14ED8">
        <w:rPr>
          <w:rFonts w:ascii="Times New Roman" w:hAnsi="Times New Roman" w:cs="Times New Roman"/>
          <w:i w:val="0"/>
          <w:iCs w:val="0"/>
          <w:color w:val="000000" w:themeColor="text1"/>
          <w:sz w:val="24"/>
          <w:szCs w:val="24"/>
        </w:rPr>
        <w:t>Perbankan</w:t>
      </w:r>
      <w:proofErr w:type="spellEnd"/>
      <w:r w:rsidR="00A67F27" w:rsidRPr="00B14ED8">
        <w:rPr>
          <w:rFonts w:ascii="Times New Roman" w:hAnsi="Times New Roman" w:cs="Times New Roman"/>
          <w:i w:val="0"/>
          <w:iCs w:val="0"/>
          <w:color w:val="000000" w:themeColor="text1"/>
          <w:sz w:val="24"/>
          <w:szCs w:val="24"/>
        </w:rPr>
        <w:t xml:space="preserve"> </w:t>
      </w:r>
      <w:proofErr w:type="spellStart"/>
      <w:r w:rsidR="00A67F27" w:rsidRPr="00B14ED8">
        <w:rPr>
          <w:rFonts w:ascii="Times New Roman" w:hAnsi="Times New Roman" w:cs="Times New Roman"/>
          <w:i w:val="0"/>
          <w:iCs w:val="0"/>
          <w:color w:val="000000" w:themeColor="text1"/>
          <w:sz w:val="24"/>
          <w:szCs w:val="24"/>
        </w:rPr>
        <w:t>Penelitian</w:t>
      </w:r>
      <w:proofErr w:type="spellEnd"/>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147"/>
      </w:tblGrid>
      <w:tr w:rsidR="00A87C55" w:rsidRPr="00B14ED8" w14:paraId="7E9480CA" w14:textId="77777777" w:rsidTr="00B14ED8">
        <w:trPr>
          <w:tblHeader/>
          <w:jc w:val="center"/>
        </w:trPr>
        <w:tc>
          <w:tcPr>
            <w:tcW w:w="2268" w:type="dxa"/>
            <w:tcBorders>
              <w:top w:val="single" w:sz="4" w:space="0" w:color="auto"/>
              <w:bottom w:val="single" w:sz="4" w:space="0" w:color="auto"/>
            </w:tcBorders>
          </w:tcPr>
          <w:p w14:paraId="4457EBD4" w14:textId="6B995895" w:rsidR="00A87C55" w:rsidRPr="00B14ED8" w:rsidRDefault="00A87C55" w:rsidP="00B14ED8">
            <w:pPr>
              <w:spacing w:line="360" w:lineRule="auto"/>
              <w:jc w:val="center"/>
              <w:rPr>
                <w:rFonts w:ascii="Times New Roman" w:hAnsi="Times New Roman" w:cs="Times New Roman"/>
                <w:sz w:val="20"/>
                <w:szCs w:val="20"/>
              </w:rPr>
            </w:pPr>
            <w:r w:rsidRPr="00B14ED8">
              <w:rPr>
                <w:rFonts w:ascii="Times New Roman" w:hAnsi="Times New Roman" w:cs="Times New Roman"/>
                <w:sz w:val="20"/>
                <w:szCs w:val="20"/>
              </w:rPr>
              <w:t>No</w:t>
            </w:r>
          </w:p>
        </w:tc>
        <w:tc>
          <w:tcPr>
            <w:tcW w:w="5147" w:type="dxa"/>
            <w:tcBorders>
              <w:top w:val="single" w:sz="4" w:space="0" w:color="auto"/>
              <w:bottom w:val="single" w:sz="4" w:space="0" w:color="auto"/>
            </w:tcBorders>
          </w:tcPr>
          <w:p w14:paraId="7BFEF1F0" w14:textId="36ADB35E" w:rsidR="00A87C55" w:rsidRPr="00B14ED8" w:rsidRDefault="00A87C55" w:rsidP="00B14ED8">
            <w:pPr>
              <w:spacing w:line="360" w:lineRule="auto"/>
              <w:rPr>
                <w:rFonts w:ascii="Times New Roman" w:hAnsi="Times New Roman" w:cs="Times New Roman"/>
                <w:sz w:val="20"/>
                <w:szCs w:val="20"/>
              </w:rPr>
            </w:pPr>
            <w:proofErr w:type="spellStart"/>
            <w:r w:rsidRPr="00B14ED8">
              <w:rPr>
                <w:rFonts w:ascii="Times New Roman" w:hAnsi="Times New Roman" w:cs="Times New Roman"/>
                <w:sz w:val="20"/>
                <w:szCs w:val="20"/>
              </w:rPr>
              <w:t>Instansi</w:t>
            </w:r>
            <w:proofErr w:type="spellEnd"/>
            <w:r w:rsidRPr="00B14ED8">
              <w:rPr>
                <w:rFonts w:ascii="Times New Roman" w:hAnsi="Times New Roman" w:cs="Times New Roman"/>
                <w:sz w:val="20"/>
                <w:szCs w:val="20"/>
              </w:rPr>
              <w:t xml:space="preserve"> Bank Syariah</w:t>
            </w:r>
          </w:p>
        </w:tc>
      </w:tr>
      <w:tr w:rsidR="00F67414" w:rsidRPr="00B14ED8" w14:paraId="140B7E47" w14:textId="77777777" w:rsidTr="00FC0AE4">
        <w:trPr>
          <w:jc w:val="center"/>
        </w:trPr>
        <w:tc>
          <w:tcPr>
            <w:tcW w:w="2268" w:type="dxa"/>
            <w:tcBorders>
              <w:top w:val="single" w:sz="4" w:space="0" w:color="auto"/>
            </w:tcBorders>
          </w:tcPr>
          <w:p w14:paraId="79EBDA8F" w14:textId="237918DB" w:rsidR="00F67414" w:rsidRPr="00B14ED8" w:rsidRDefault="00F67414" w:rsidP="00B14ED8">
            <w:pPr>
              <w:spacing w:line="360" w:lineRule="auto"/>
              <w:jc w:val="center"/>
              <w:rPr>
                <w:rFonts w:ascii="Times New Roman" w:hAnsi="Times New Roman" w:cs="Times New Roman"/>
                <w:sz w:val="20"/>
                <w:szCs w:val="20"/>
              </w:rPr>
            </w:pPr>
            <w:r w:rsidRPr="00B14ED8">
              <w:rPr>
                <w:rFonts w:ascii="Times New Roman" w:hAnsi="Times New Roman" w:cs="Times New Roman"/>
                <w:sz w:val="20"/>
                <w:szCs w:val="20"/>
              </w:rPr>
              <w:t>1.</w:t>
            </w:r>
          </w:p>
        </w:tc>
        <w:tc>
          <w:tcPr>
            <w:tcW w:w="5147" w:type="dxa"/>
            <w:tcBorders>
              <w:top w:val="single" w:sz="4" w:space="0" w:color="auto"/>
            </w:tcBorders>
          </w:tcPr>
          <w:p w14:paraId="682CA6E5" w14:textId="63816777" w:rsidR="00F67414" w:rsidRPr="00B14ED8" w:rsidRDefault="00F67414" w:rsidP="00B14ED8">
            <w:pPr>
              <w:spacing w:line="360" w:lineRule="auto"/>
              <w:rPr>
                <w:rFonts w:ascii="Times New Roman" w:hAnsi="Times New Roman" w:cs="Times New Roman"/>
                <w:sz w:val="20"/>
                <w:szCs w:val="20"/>
              </w:rPr>
            </w:pPr>
            <w:r w:rsidRPr="00B14ED8">
              <w:rPr>
                <w:rFonts w:ascii="Times New Roman" w:hAnsi="Times New Roman" w:cs="Times New Roman"/>
                <w:sz w:val="20"/>
                <w:szCs w:val="20"/>
              </w:rPr>
              <w:t>PT. Bank Aceh Syariah</w:t>
            </w:r>
          </w:p>
        </w:tc>
      </w:tr>
      <w:tr w:rsidR="00F67414" w:rsidRPr="00B14ED8" w14:paraId="634D70FB" w14:textId="77777777" w:rsidTr="00FC0AE4">
        <w:trPr>
          <w:jc w:val="center"/>
        </w:trPr>
        <w:tc>
          <w:tcPr>
            <w:tcW w:w="2268" w:type="dxa"/>
          </w:tcPr>
          <w:p w14:paraId="6270D27C" w14:textId="6540F284" w:rsidR="00F67414" w:rsidRPr="00B14ED8" w:rsidRDefault="00F67414" w:rsidP="00B14ED8">
            <w:pPr>
              <w:spacing w:line="360" w:lineRule="auto"/>
              <w:jc w:val="center"/>
              <w:rPr>
                <w:rFonts w:ascii="Times New Roman" w:hAnsi="Times New Roman" w:cs="Times New Roman"/>
                <w:sz w:val="20"/>
                <w:szCs w:val="20"/>
              </w:rPr>
            </w:pPr>
            <w:r w:rsidRPr="00B14ED8">
              <w:rPr>
                <w:rFonts w:ascii="Times New Roman" w:hAnsi="Times New Roman" w:cs="Times New Roman"/>
                <w:sz w:val="20"/>
                <w:szCs w:val="20"/>
              </w:rPr>
              <w:t>2.</w:t>
            </w:r>
          </w:p>
        </w:tc>
        <w:tc>
          <w:tcPr>
            <w:tcW w:w="5147" w:type="dxa"/>
          </w:tcPr>
          <w:p w14:paraId="1D47B73D" w14:textId="766B3138" w:rsidR="00F67414" w:rsidRPr="00B14ED8" w:rsidRDefault="00F67414" w:rsidP="00B14ED8">
            <w:pPr>
              <w:spacing w:line="360" w:lineRule="auto"/>
              <w:rPr>
                <w:rFonts w:ascii="Times New Roman" w:hAnsi="Times New Roman" w:cs="Times New Roman"/>
                <w:sz w:val="20"/>
                <w:szCs w:val="20"/>
              </w:rPr>
            </w:pPr>
            <w:r w:rsidRPr="00B14ED8">
              <w:rPr>
                <w:rFonts w:ascii="Times New Roman" w:hAnsi="Times New Roman" w:cs="Times New Roman"/>
                <w:sz w:val="20"/>
                <w:szCs w:val="20"/>
              </w:rPr>
              <w:t>PT. BPD NTB Syariah</w:t>
            </w:r>
          </w:p>
        </w:tc>
      </w:tr>
      <w:tr w:rsidR="00F67414" w:rsidRPr="00B14ED8" w14:paraId="7B1C4BE9" w14:textId="77777777" w:rsidTr="00FC0AE4">
        <w:trPr>
          <w:jc w:val="center"/>
        </w:trPr>
        <w:tc>
          <w:tcPr>
            <w:tcW w:w="2268" w:type="dxa"/>
          </w:tcPr>
          <w:p w14:paraId="73DFAA1E" w14:textId="1B554283" w:rsidR="00F67414" w:rsidRPr="00B14ED8" w:rsidRDefault="00F67414" w:rsidP="00B14ED8">
            <w:pPr>
              <w:spacing w:line="360" w:lineRule="auto"/>
              <w:jc w:val="center"/>
              <w:rPr>
                <w:rFonts w:ascii="Times New Roman" w:hAnsi="Times New Roman" w:cs="Times New Roman"/>
                <w:sz w:val="20"/>
                <w:szCs w:val="20"/>
              </w:rPr>
            </w:pPr>
            <w:r w:rsidRPr="00B14ED8">
              <w:rPr>
                <w:rFonts w:ascii="Times New Roman" w:hAnsi="Times New Roman" w:cs="Times New Roman"/>
                <w:sz w:val="20"/>
                <w:szCs w:val="20"/>
              </w:rPr>
              <w:t>3.</w:t>
            </w:r>
          </w:p>
        </w:tc>
        <w:tc>
          <w:tcPr>
            <w:tcW w:w="5147" w:type="dxa"/>
          </w:tcPr>
          <w:p w14:paraId="668E45E5" w14:textId="094C2E41" w:rsidR="00F67414" w:rsidRPr="00B14ED8" w:rsidRDefault="00F67414" w:rsidP="00B14ED8">
            <w:pPr>
              <w:spacing w:line="360" w:lineRule="auto"/>
              <w:rPr>
                <w:rFonts w:ascii="Times New Roman" w:hAnsi="Times New Roman" w:cs="Times New Roman"/>
                <w:sz w:val="20"/>
                <w:szCs w:val="20"/>
              </w:rPr>
            </w:pPr>
            <w:r w:rsidRPr="00B14ED8">
              <w:rPr>
                <w:rFonts w:ascii="Times New Roman" w:hAnsi="Times New Roman" w:cs="Times New Roman"/>
                <w:sz w:val="20"/>
                <w:szCs w:val="20"/>
              </w:rPr>
              <w:t xml:space="preserve">PT. Bank </w:t>
            </w:r>
            <w:proofErr w:type="spellStart"/>
            <w:r w:rsidRPr="00B14ED8">
              <w:rPr>
                <w:rFonts w:ascii="Times New Roman" w:hAnsi="Times New Roman" w:cs="Times New Roman"/>
                <w:sz w:val="20"/>
                <w:szCs w:val="20"/>
              </w:rPr>
              <w:t>Muamalat</w:t>
            </w:r>
            <w:proofErr w:type="spellEnd"/>
            <w:r w:rsidRPr="00B14ED8">
              <w:rPr>
                <w:rFonts w:ascii="Times New Roman" w:hAnsi="Times New Roman" w:cs="Times New Roman"/>
                <w:sz w:val="20"/>
                <w:szCs w:val="20"/>
              </w:rPr>
              <w:t xml:space="preserve"> Indonesia</w:t>
            </w:r>
          </w:p>
        </w:tc>
      </w:tr>
      <w:tr w:rsidR="00F67414" w:rsidRPr="00B14ED8" w14:paraId="025FB70C" w14:textId="77777777" w:rsidTr="00FC0AE4">
        <w:trPr>
          <w:jc w:val="center"/>
        </w:trPr>
        <w:tc>
          <w:tcPr>
            <w:tcW w:w="2268" w:type="dxa"/>
          </w:tcPr>
          <w:p w14:paraId="37BDD05D" w14:textId="6BB4A734" w:rsidR="00F67414" w:rsidRPr="00B14ED8" w:rsidRDefault="00F67414" w:rsidP="00B14ED8">
            <w:pPr>
              <w:spacing w:line="360" w:lineRule="auto"/>
              <w:jc w:val="center"/>
              <w:rPr>
                <w:rFonts w:ascii="Times New Roman" w:hAnsi="Times New Roman" w:cs="Times New Roman"/>
                <w:sz w:val="20"/>
                <w:szCs w:val="20"/>
              </w:rPr>
            </w:pPr>
            <w:r w:rsidRPr="00B14ED8">
              <w:rPr>
                <w:rFonts w:ascii="Times New Roman" w:hAnsi="Times New Roman" w:cs="Times New Roman"/>
                <w:sz w:val="20"/>
                <w:szCs w:val="20"/>
              </w:rPr>
              <w:t>4.</w:t>
            </w:r>
          </w:p>
        </w:tc>
        <w:tc>
          <w:tcPr>
            <w:tcW w:w="5147" w:type="dxa"/>
          </w:tcPr>
          <w:p w14:paraId="07EF4CBE" w14:textId="4A971F4C" w:rsidR="00F67414" w:rsidRPr="00B14ED8" w:rsidRDefault="00F67414" w:rsidP="00B14ED8">
            <w:pPr>
              <w:spacing w:line="360" w:lineRule="auto"/>
              <w:rPr>
                <w:rFonts w:ascii="Times New Roman" w:hAnsi="Times New Roman" w:cs="Times New Roman"/>
                <w:sz w:val="20"/>
                <w:szCs w:val="20"/>
              </w:rPr>
            </w:pPr>
            <w:r w:rsidRPr="00B14ED8">
              <w:rPr>
                <w:rFonts w:ascii="Times New Roman" w:hAnsi="Times New Roman" w:cs="Times New Roman"/>
                <w:sz w:val="20"/>
                <w:szCs w:val="20"/>
              </w:rPr>
              <w:t xml:space="preserve">PT. Bank Victoria Syariah </w:t>
            </w:r>
          </w:p>
        </w:tc>
      </w:tr>
      <w:tr w:rsidR="00F67414" w:rsidRPr="00B14ED8" w14:paraId="0B117A4E" w14:textId="77777777" w:rsidTr="00FC0AE4">
        <w:trPr>
          <w:jc w:val="center"/>
        </w:trPr>
        <w:tc>
          <w:tcPr>
            <w:tcW w:w="2268" w:type="dxa"/>
          </w:tcPr>
          <w:p w14:paraId="5F850FD4" w14:textId="0D6CF04D" w:rsidR="00F67414" w:rsidRPr="00B14ED8" w:rsidRDefault="00F67414" w:rsidP="00B14ED8">
            <w:pPr>
              <w:spacing w:line="360" w:lineRule="auto"/>
              <w:jc w:val="center"/>
              <w:rPr>
                <w:rFonts w:ascii="Times New Roman" w:hAnsi="Times New Roman" w:cs="Times New Roman"/>
                <w:sz w:val="20"/>
                <w:szCs w:val="20"/>
              </w:rPr>
            </w:pPr>
            <w:r w:rsidRPr="00B14ED8">
              <w:rPr>
                <w:rFonts w:ascii="Times New Roman" w:hAnsi="Times New Roman" w:cs="Times New Roman"/>
                <w:sz w:val="20"/>
                <w:szCs w:val="20"/>
              </w:rPr>
              <w:t>5.</w:t>
            </w:r>
          </w:p>
        </w:tc>
        <w:tc>
          <w:tcPr>
            <w:tcW w:w="5147" w:type="dxa"/>
          </w:tcPr>
          <w:p w14:paraId="0EBD311A" w14:textId="22987C7B" w:rsidR="00F67414" w:rsidRPr="00B14ED8" w:rsidRDefault="00F67414" w:rsidP="00B14ED8">
            <w:pPr>
              <w:spacing w:line="360" w:lineRule="auto"/>
              <w:rPr>
                <w:rFonts w:ascii="Times New Roman" w:hAnsi="Times New Roman" w:cs="Times New Roman"/>
                <w:sz w:val="20"/>
                <w:szCs w:val="20"/>
              </w:rPr>
            </w:pPr>
            <w:r w:rsidRPr="00B14ED8">
              <w:rPr>
                <w:rFonts w:ascii="Times New Roman" w:hAnsi="Times New Roman" w:cs="Times New Roman"/>
                <w:sz w:val="20"/>
                <w:szCs w:val="20"/>
              </w:rPr>
              <w:t>PT. Bank BTPN Syariah</w:t>
            </w:r>
          </w:p>
        </w:tc>
      </w:tr>
      <w:tr w:rsidR="00F67414" w:rsidRPr="00B14ED8" w14:paraId="104F117F" w14:textId="77777777" w:rsidTr="00FC0AE4">
        <w:trPr>
          <w:jc w:val="center"/>
        </w:trPr>
        <w:tc>
          <w:tcPr>
            <w:tcW w:w="2268" w:type="dxa"/>
          </w:tcPr>
          <w:p w14:paraId="49279ECF" w14:textId="152B3583" w:rsidR="00F67414" w:rsidRPr="00B14ED8" w:rsidRDefault="00F67414" w:rsidP="00B14ED8">
            <w:pPr>
              <w:spacing w:line="360" w:lineRule="auto"/>
              <w:jc w:val="center"/>
              <w:rPr>
                <w:rFonts w:ascii="Times New Roman" w:hAnsi="Times New Roman" w:cs="Times New Roman"/>
                <w:sz w:val="20"/>
                <w:szCs w:val="20"/>
              </w:rPr>
            </w:pPr>
            <w:r w:rsidRPr="00B14ED8">
              <w:rPr>
                <w:rFonts w:ascii="Times New Roman" w:hAnsi="Times New Roman" w:cs="Times New Roman"/>
                <w:sz w:val="20"/>
                <w:szCs w:val="20"/>
              </w:rPr>
              <w:t>6.</w:t>
            </w:r>
          </w:p>
        </w:tc>
        <w:tc>
          <w:tcPr>
            <w:tcW w:w="5147" w:type="dxa"/>
          </w:tcPr>
          <w:p w14:paraId="10044EC8" w14:textId="4EEC344E" w:rsidR="00F67414" w:rsidRPr="00B14ED8" w:rsidRDefault="00F67414" w:rsidP="00B14ED8">
            <w:pPr>
              <w:spacing w:line="360" w:lineRule="auto"/>
              <w:rPr>
                <w:rFonts w:ascii="Times New Roman" w:hAnsi="Times New Roman" w:cs="Times New Roman"/>
                <w:sz w:val="20"/>
                <w:szCs w:val="20"/>
              </w:rPr>
            </w:pPr>
            <w:r w:rsidRPr="00B14ED8">
              <w:rPr>
                <w:rFonts w:ascii="Times New Roman" w:hAnsi="Times New Roman" w:cs="Times New Roman"/>
                <w:sz w:val="20"/>
                <w:szCs w:val="20"/>
              </w:rPr>
              <w:t xml:space="preserve">PT. Bank </w:t>
            </w:r>
            <w:proofErr w:type="spellStart"/>
            <w:r w:rsidRPr="00B14ED8">
              <w:rPr>
                <w:rFonts w:ascii="Times New Roman" w:hAnsi="Times New Roman" w:cs="Times New Roman"/>
                <w:sz w:val="20"/>
                <w:szCs w:val="20"/>
              </w:rPr>
              <w:t>Jabar</w:t>
            </w:r>
            <w:proofErr w:type="spellEnd"/>
            <w:r w:rsidRPr="00B14ED8">
              <w:rPr>
                <w:rFonts w:ascii="Times New Roman" w:hAnsi="Times New Roman" w:cs="Times New Roman"/>
                <w:sz w:val="20"/>
                <w:szCs w:val="20"/>
              </w:rPr>
              <w:t xml:space="preserve"> Banten Syariah</w:t>
            </w:r>
          </w:p>
        </w:tc>
      </w:tr>
      <w:tr w:rsidR="00F67414" w:rsidRPr="00B14ED8" w14:paraId="70B7DEAB" w14:textId="77777777" w:rsidTr="00FC0AE4">
        <w:trPr>
          <w:jc w:val="center"/>
        </w:trPr>
        <w:tc>
          <w:tcPr>
            <w:tcW w:w="2268" w:type="dxa"/>
          </w:tcPr>
          <w:p w14:paraId="5A02DF56" w14:textId="51FE4168" w:rsidR="00F67414" w:rsidRPr="00B14ED8" w:rsidRDefault="00F67414" w:rsidP="00B14ED8">
            <w:pPr>
              <w:spacing w:line="360" w:lineRule="auto"/>
              <w:jc w:val="center"/>
              <w:rPr>
                <w:rFonts w:ascii="Times New Roman" w:hAnsi="Times New Roman" w:cs="Times New Roman"/>
                <w:sz w:val="20"/>
                <w:szCs w:val="20"/>
              </w:rPr>
            </w:pPr>
            <w:r w:rsidRPr="00B14ED8">
              <w:rPr>
                <w:rFonts w:ascii="Times New Roman" w:hAnsi="Times New Roman" w:cs="Times New Roman"/>
                <w:sz w:val="20"/>
                <w:szCs w:val="20"/>
              </w:rPr>
              <w:lastRenderedPageBreak/>
              <w:t>7.</w:t>
            </w:r>
          </w:p>
        </w:tc>
        <w:tc>
          <w:tcPr>
            <w:tcW w:w="5147" w:type="dxa"/>
          </w:tcPr>
          <w:p w14:paraId="3B3EBBD0" w14:textId="569F61F6" w:rsidR="00F67414" w:rsidRPr="00B14ED8" w:rsidRDefault="00F67414" w:rsidP="00B14ED8">
            <w:pPr>
              <w:spacing w:line="360" w:lineRule="auto"/>
              <w:rPr>
                <w:rFonts w:ascii="Times New Roman" w:hAnsi="Times New Roman" w:cs="Times New Roman"/>
                <w:sz w:val="20"/>
                <w:szCs w:val="20"/>
              </w:rPr>
            </w:pPr>
            <w:r w:rsidRPr="00B14ED8">
              <w:rPr>
                <w:rFonts w:ascii="Times New Roman" w:hAnsi="Times New Roman" w:cs="Times New Roman"/>
                <w:sz w:val="20"/>
                <w:szCs w:val="20"/>
              </w:rPr>
              <w:t xml:space="preserve">PT. Bank Mega Syariah </w:t>
            </w:r>
          </w:p>
        </w:tc>
      </w:tr>
      <w:tr w:rsidR="00F67414" w:rsidRPr="00B14ED8" w14:paraId="51850ABB" w14:textId="77777777" w:rsidTr="00FC0AE4">
        <w:trPr>
          <w:jc w:val="center"/>
        </w:trPr>
        <w:tc>
          <w:tcPr>
            <w:tcW w:w="2268" w:type="dxa"/>
          </w:tcPr>
          <w:p w14:paraId="7B2FBEFF" w14:textId="39929F00" w:rsidR="00F67414" w:rsidRPr="00B14ED8" w:rsidRDefault="00F67414" w:rsidP="00B14ED8">
            <w:pPr>
              <w:spacing w:line="360" w:lineRule="auto"/>
              <w:jc w:val="center"/>
              <w:rPr>
                <w:rFonts w:ascii="Times New Roman" w:hAnsi="Times New Roman" w:cs="Times New Roman"/>
                <w:sz w:val="20"/>
                <w:szCs w:val="20"/>
              </w:rPr>
            </w:pPr>
            <w:r w:rsidRPr="00B14ED8">
              <w:rPr>
                <w:rFonts w:ascii="Times New Roman" w:hAnsi="Times New Roman" w:cs="Times New Roman"/>
                <w:sz w:val="20"/>
                <w:szCs w:val="20"/>
              </w:rPr>
              <w:t>8.</w:t>
            </w:r>
          </w:p>
        </w:tc>
        <w:tc>
          <w:tcPr>
            <w:tcW w:w="5147" w:type="dxa"/>
          </w:tcPr>
          <w:p w14:paraId="71BF4348" w14:textId="3B7DFB1A" w:rsidR="00F67414" w:rsidRPr="00B14ED8" w:rsidRDefault="00F67414" w:rsidP="00B14ED8">
            <w:pPr>
              <w:spacing w:line="360" w:lineRule="auto"/>
              <w:rPr>
                <w:rFonts w:ascii="Times New Roman" w:hAnsi="Times New Roman" w:cs="Times New Roman"/>
                <w:sz w:val="20"/>
                <w:szCs w:val="20"/>
              </w:rPr>
            </w:pPr>
            <w:r w:rsidRPr="00B14ED8">
              <w:rPr>
                <w:rFonts w:ascii="Times New Roman" w:hAnsi="Times New Roman" w:cs="Times New Roman"/>
                <w:sz w:val="20"/>
                <w:szCs w:val="20"/>
              </w:rPr>
              <w:t xml:space="preserve">PT. Bank </w:t>
            </w:r>
            <w:proofErr w:type="spellStart"/>
            <w:r w:rsidRPr="00B14ED8">
              <w:rPr>
                <w:rFonts w:ascii="Times New Roman" w:hAnsi="Times New Roman" w:cs="Times New Roman"/>
                <w:sz w:val="20"/>
                <w:szCs w:val="20"/>
              </w:rPr>
              <w:t>Panin</w:t>
            </w:r>
            <w:proofErr w:type="spellEnd"/>
            <w:r w:rsidRPr="00B14ED8">
              <w:rPr>
                <w:rFonts w:ascii="Times New Roman" w:hAnsi="Times New Roman" w:cs="Times New Roman"/>
                <w:sz w:val="20"/>
                <w:szCs w:val="20"/>
              </w:rPr>
              <w:t xml:space="preserve"> Dubai Syariah</w:t>
            </w:r>
          </w:p>
        </w:tc>
      </w:tr>
      <w:tr w:rsidR="00F67414" w:rsidRPr="00B14ED8" w14:paraId="4710D4A7" w14:textId="77777777" w:rsidTr="00FC0AE4">
        <w:trPr>
          <w:jc w:val="center"/>
        </w:trPr>
        <w:tc>
          <w:tcPr>
            <w:tcW w:w="2268" w:type="dxa"/>
          </w:tcPr>
          <w:p w14:paraId="62C2B0EE" w14:textId="697ECD92" w:rsidR="00F67414" w:rsidRPr="00B14ED8" w:rsidRDefault="00F67414" w:rsidP="00B14ED8">
            <w:pPr>
              <w:spacing w:line="360" w:lineRule="auto"/>
              <w:jc w:val="center"/>
              <w:rPr>
                <w:rFonts w:ascii="Times New Roman" w:hAnsi="Times New Roman" w:cs="Times New Roman"/>
                <w:sz w:val="20"/>
                <w:szCs w:val="20"/>
              </w:rPr>
            </w:pPr>
            <w:r w:rsidRPr="00B14ED8">
              <w:rPr>
                <w:rFonts w:ascii="Times New Roman" w:hAnsi="Times New Roman" w:cs="Times New Roman"/>
                <w:sz w:val="20"/>
                <w:szCs w:val="20"/>
              </w:rPr>
              <w:t>9.</w:t>
            </w:r>
          </w:p>
        </w:tc>
        <w:tc>
          <w:tcPr>
            <w:tcW w:w="5147" w:type="dxa"/>
          </w:tcPr>
          <w:p w14:paraId="620A7AAB" w14:textId="6B16DB07" w:rsidR="00F67414" w:rsidRPr="00B14ED8" w:rsidRDefault="00F67414" w:rsidP="00B14ED8">
            <w:pPr>
              <w:spacing w:line="360" w:lineRule="auto"/>
              <w:rPr>
                <w:rFonts w:ascii="Times New Roman" w:hAnsi="Times New Roman" w:cs="Times New Roman"/>
                <w:sz w:val="20"/>
                <w:szCs w:val="20"/>
              </w:rPr>
            </w:pPr>
            <w:r w:rsidRPr="00B14ED8">
              <w:rPr>
                <w:rFonts w:ascii="Times New Roman" w:hAnsi="Times New Roman" w:cs="Times New Roman"/>
                <w:sz w:val="20"/>
                <w:szCs w:val="20"/>
              </w:rPr>
              <w:t xml:space="preserve">PT. Bank Syariah </w:t>
            </w:r>
            <w:proofErr w:type="spellStart"/>
            <w:r w:rsidRPr="00B14ED8">
              <w:rPr>
                <w:rFonts w:ascii="Times New Roman" w:hAnsi="Times New Roman" w:cs="Times New Roman"/>
                <w:sz w:val="20"/>
                <w:szCs w:val="20"/>
              </w:rPr>
              <w:t>Bukopin</w:t>
            </w:r>
            <w:proofErr w:type="spellEnd"/>
          </w:p>
        </w:tc>
      </w:tr>
      <w:tr w:rsidR="00F67414" w:rsidRPr="00B14ED8" w14:paraId="585D4E2A" w14:textId="77777777" w:rsidTr="00FC0AE4">
        <w:trPr>
          <w:jc w:val="center"/>
        </w:trPr>
        <w:tc>
          <w:tcPr>
            <w:tcW w:w="2268" w:type="dxa"/>
          </w:tcPr>
          <w:p w14:paraId="01015A8A" w14:textId="77BE0F54" w:rsidR="00F67414" w:rsidRPr="00B14ED8" w:rsidRDefault="00F67414" w:rsidP="00B14ED8">
            <w:pPr>
              <w:spacing w:line="360" w:lineRule="auto"/>
              <w:jc w:val="center"/>
              <w:rPr>
                <w:rFonts w:ascii="Times New Roman" w:hAnsi="Times New Roman" w:cs="Times New Roman"/>
                <w:sz w:val="20"/>
                <w:szCs w:val="20"/>
              </w:rPr>
            </w:pPr>
            <w:r w:rsidRPr="00B14ED8">
              <w:rPr>
                <w:rFonts w:ascii="Times New Roman" w:hAnsi="Times New Roman" w:cs="Times New Roman"/>
                <w:sz w:val="20"/>
                <w:szCs w:val="20"/>
              </w:rPr>
              <w:t>10.</w:t>
            </w:r>
          </w:p>
        </w:tc>
        <w:tc>
          <w:tcPr>
            <w:tcW w:w="5147" w:type="dxa"/>
          </w:tcPr>
          <w:p w14:paraId="2BFB078C" w14:textId="66DD796D" w:rsidR="00F67414" w:rsidRPr="00B14ED8" w:rsidRDefault="00F67414" w:rsidP="00B14ED8">
            <w:pPr>
              <w:spacing w:line="360" w:lineRule="auto"/>
              <w:rPr>
                <w:rFonts w:ascii="Times New Roman" w:hAnsi="Times New Roman" w:cs="Times New Roman"/>
                <w:sz w:val="20"/>
                <w:szCs w:val="20"/>
              </w:rPr>
            </w:pPr>
            <w:r w:rsidRPr="00B14ED8">
              <w:rPr>
                <w:rFonts w:ascii="Times New Roman" w:hAnsi="Times New Roman" w:cs="Times New Roman"/>
                <w:sz w:val="20"/>
                <w:szCs w:val="20"/>
              </w:rPr>
              <w:t xml:space="preserve">PT. Bank </w:t>
            </w:r>
            <w:proofErr w:type="spellStart"/>
            <w:r w:rsidRPr="00B14ED8">
              <w:rPr>
                <w:rFonts w:ascii="Times New Roman" w:hAnsi="Times New Roman" w:cs="Times New Roman"/>
                <w:sz w:val="20"/>
                <w:szCs w:val="20"/>
              </w:rPr>
              <w:t>Aladin</w:t>
            </w:r>
            <w:proofErr w:type="spellEnd"/>
            <w:r w:rsidRPr="00B14ED8">
              <w:rPr>
                <w:rFonts w:ascii="Times New Roman" w:hAnsi="Times New Roman" w:cs="Times New Roman"/>
                <w:sz w:val="20"/>
                <w:szCs w:val="20"/>
              </w:rPr>
              <w:t xml:space="preserve"> Syariah</w:t>
            </w:r>
          </w:p>
        </w:tc>
      </w:tr>
      <w:tr w:rsidR="00F67414" w:rsidRPr="00B14ED8" w14:paraId="3A583944" w14:textId="77777777" w:rsidTr="00FC0AE4">
        <w:trPr>
          <w:jc w:val="center"/>
        </w:trPr>
        <w:tc>
          <w:tcPr>
            <w:tcW w:w="2268" w:type="dxa"/>
          </w:tcPr>
          <w:p w14:paraId="477B7CB6" w14:textId="22D6D9EF" w:rsidR="00F67414" w:rsidRPr="00B14ED8" w:rsidRDefault="00F67414" w:rsidP="00B14ED8">
            <w:pPr>
              <w:spacing w:line="360" w:lineRule="auto"/>
              <w:jc w:val="center"/>
              <w:rPr>
                <w:rFonts w:ascii="Times New Roman" w:hAnsi="Times New Roman" w:cs="Times New Roman"/>
                <w:sz w:val="20"/>
                <w:szCs w:val="20"/>
              </w:rPr>
            </w:pPr>
            <w:r w:rsidRPr="00B14ED8">
              <w:rPr>
                <w:rFonts w:ascii="Times New Roman" w:hAnsi="Times New Roman" w:cs="Times New Roman"/>
                <w:sz w:val="20"/>
                <w:szCs w:val="20"/>
              </w:rPr>
              <w:t>11.</w:t>
            </w:r>
          </w:p>
        </w:tc>
        <w:tc>
          <w:tcPr>
            <w:tcW w:w="5147" w:type="dxa"/>
          </w:tcPr>
          <w:p w14:paraId="676C21C4" w14:textId="59883B5D" w:rsidR="00F67414" w:rsidRPr="00B14ED8" w:rsidRDefault="00F67414" w:rsidP="00B14ED8">
            <w:pPr>
              <w:spacing w:line="360" w:lineRule="auto"/>
              <w:rPr>
                <w:rFonts w:ascii="Times New Roman" w:hAnsi="Times New Roman" w:cs="Times New Roman"/>
                <w:sz w:val="20"/>
                <w:szCs w:val="20"/>
              </w:rPr>
            </w:pPr>
            <w:r w:rsidRPr="00B14ED8">
              <w:rPr>
                <w:rFonts w:ascii="Times New Roman" w:hAnsi="Times New Roman" w:cs="Times New Roman"/>
                <w:sz w:val="20"/>
                <w:szCs w:val="20"/>
              </w:rPr>
              <w:t>PT. Bank BCA Syariah</w:t>
            </w:r>
          </w:p>
        </w:tc>
      </w:tr>
    </w:tbl>
    <w:p w14:paraId="7A425B11" w14:textId="37FACD12" w:rsidR="00A87C55" w:rsidRPr="00B14ED8" w:rsidRDefault="00F211ED" w:rsidP="00B14ED8">
      <w:pPr>
        <w:spacing w:after="0" w:line="360" w:lineRule="auto"/>
        <w:ind w:left="851"/>
        <w:jc w:val="center"/>
        <w:rPr>
          <w:rFonts w:ascii="Times New Roman" w:hAnsi="Times New Roman" w:cs="Times New Roman"/>
          <w:sz w:val="24"/>
          <w:szCs w:val="24"/>
        </w:rPr>
      </w:pPr>
      <w:proofErr w:type="spellStart"/>
      <w:r w:rsidRPr="00B14ED8">
        <w:rPr>
          <w:rFonts w:ascii="Times New Roman" w:hAnsi="Times New Roman" w:cs="Times New Roman"/>
          <w:sz w:val="24"/>
          <w:szCs w:val="24"/>
        </w:rPr>
        <w:t>Sumber</w:t>
      </w:r>
      <w:proofErr w:type="spellEnd"/>
      <w:r w:rsidRPr="00B14ED8">
        <w:rPr>
          <w:rFonts w:ascii="Times New Roman" w:hAnsi="Times New Roman" w:cs="Times New Roman"/>
          <w:sz w:val="24"/>
          <w:szCs w:val="24"/>
        </w:rPr>
        <w:t xml:space="preserve">: Data </w:t>
      </w:r>
      <w:proofErr w:type="spellStart"/>
      <w:r w:rsidRPr="00B14ED8">
        <w:rPr>
          <w:rFonts w:ascii="Times New Roman" w:hAnsi="Times New Roman" w:cs="Times New Roman"/>
          <w:sz w:val="24"/>
          <w:szCs w:val="24"/>
        </w:rPr>
        <w:t>sekunder</w:t>
      </w:r>
      <w:proofErr w:type="spellEnd"/>
      <w:r w:rsidRPr="00B14ED8">
        <w:rPr>
          <w:rFonts w:ascii="Times New Roman" w:hAnsi="Times New Roman" w:cs="Times New Roman"/>
          <w:sz w:val="24"/>
          <w:szCs w:val="24"/>
        </w:rPr>
        <w:t xml:space="preserve"> yang </w:t>
      </w:r>
      <w:proofErr w:type="spellStart"/>
      <w:r w:rsidRPr="00B14ED8">
        <w:rPr>
          <w:rFonts w:ascii="Times New Roman" w:hAnsi="Times New Roman" w:cs="Times New Roman"/>
          <w:sz w:val="24"/>
          <w:szCs w:val="24"/>
        </w:rPr>
        <w:t>diolah</w:t>
      </w:r>
      <w:proofErr w:type="spellEnd"/>
      <w:r w:rsidRPr="00B14ED8">
        <w:rPr>
          <w:rFonts w:ascii="Times New Roman" w:hAnsi="Times New Roman" w:cs="Times New Roman"/>
          <w:sz w:val="24"/>
          <w:szCs w:val="24"/>
        </w:rPr>
        <w:t>, 2024</w:t>
      </w:r>
    </w:p>
    <w:p w14:paraId="1D1E0099" w14:textId="4D5D2F6A" w:rsidR="00E83EE7" w:rsidRDefault="00FC0AE4" w:rsidP="00B14ED8">
      <w:pPr>
        <w:tabs>
          <w:tab w:val="left" w:pos="567"/>
        </w:tabs>
        <w:spacing w:after="0" w:line="360" w:lineRule="auto"/>
        <w:ind w:firstLine="567"/>
        <w:jc w:val="both"/>
        <w:rPr>
          <w:rFonts w:ascii="Times New Roman" w:eastAsia="Times New Roman" w:hAnsi="Times New Roman" w:cs="Times New Roman"/>
          <w:sz w:val="24"/>
          <w:szCs w:val="24"/>
        </w:rPr>
      </w:pPr>
      <w:r w:rsidRPr="00B14ED8">
        <w:rPr>
          <w:rFonts w:ascii="Times New Roman" w:eastAsia="Times New Roman" w:hAnsi="Times New Roman" w:cs="Times New Roman"/>
          <w:sz w:val="24"/>
          <w:szCs w:val="24"/>
        </w:rPr>
        <w:t>T</w:t>
      </w:r>
      <w:r w:rsidR="00875F78" w:rsidRPr="00B14ED8">
        <w:rPr>
          <w:rFonts w:ascii="Times New Roman" w:eastAsia="Times New Roman" w:hAnsi="Times New Roman" w:cs="Times New Roman"/>
          <w:sz w:val="24"/>
          <w:szCs w:val="24"/>
        </w:rPr>
        <w:t xml:space="preserve">eknik </w:t>
      </w:r>
      <w:proofErr w:type="spellStart"/>
      <w:r w:rsidR="00875F78" w:rsidRPr="00B14ED8">
        <w:rPr>
          <w:rFonts w:ascii="Times New Roman" w:eastAsia="Times New Roman" w:hAnsi="Times New Roman" w:cs="Times New Roman"/>
          <w:sz w:val="24"/>
          <w:szCs w:val="24"/>
        </w:rPr>
        <w:t>analisis</w:t>
      </w:r>
      <w:proofErr w:type="spellEnd"/>
      <w:r w:rsidR="00875F78" w:rsidRPr="00B14ED8">
        <w:rPr>
          <w:rFonts w:ascii="Times New Roman" w:eastAsia="Times New Roman" w:hAnsi="Times New Roman" w:cs="Times New Roman"/>
          <w:sz w:val="24"/>
          <w:szCs w:val="24"/>
        </w:rPr>
        <w:t xml:space="preserve"> data yang </w:t>
      </w:r>
      <w:proofErr w:type="spellStart"/>
      <w:r w:rsidR="00875F78" w:rsidRPr="00B14ED8">
        <w:rPr>
          <w:rFonts w:ascii="Times New Roman" w:eastAsia="Times New Roman" w:hAnsi="Times New Roman" w:cs="Times New Roman"/>
          <w:sz w:val="24"/>
          <w:szCs w:val="24"/>
        </w:rPr>
        <w:t>dilakukan</w:t>
      </w:r>
      <w:proofErr w:type="spellEnd"/>
      <w:r w:rsidR="00875F78" w:rsidRPr="00B14ED8">
        <w:rPr>
          <w:rFonts w:ascii="Times New Roman" w:eastAsia="Times New Roman" w:hAnsi="Times New Roman" w:cs="Times New Roman"/>
          <w:sz w:val="24"/>
          <w:szCs w:val="24"/>
        </w:rPr>
        <w:t xml:space="preserve"> </w:t>
      </w:r>
      <w:proofErr w:type="spellStart"/>
      <w:r w:rsidR="00875F78" w:rsidRPr="00B14ED8">
        <w:rPr>
          <w:rFonts w:ascii="Times New Roman" w:eastAsia="Times New Roman" w:hAnsi="Times New Roman" w:cs="Times New Roman"/>
          <w:sz w:val="24"/>
          <w:szCs w:val="24"/>
        </w:rPr>
        <w:t>adalah</w:t>
      </w:r>
      <w:proofErr w:type="spellEnd"/>
      <w:r w:rsidR="00875F78" w:rsidRPr="00B14ED8">
        <w:rPr>
          <w:rFonts w:ascii="Times New Roman" w:eastAsia="Times New Roman" w:hAnsi="Times New Roman" w:cs="Times New Roman"/>
          <w:sz w:val="24"/>
          <w:szCs w:val="24"/>
        </w:rPr>
        <w:t xml:space="preserve"> </w:t>
      </w:r>
      <w:proofErr w:type="spellStart"/>
      <w:r w:rsidR="00875F78" w:rsidRPr="00B14ED8">
        <w:rPr>
          <w:rFonts w:ascii="Times New Roman" w:eastAsia="Times New Roman" w:hAnsi="Times New Roman" w:cs="Times New Roman"/>
          <w:sz w:val="24"/>
          <w:szCs w:val="24"/>
        </w:rPr>
        <w:t>analisis</w:t>
      </w:r>
      <w:proofErr w:type="spellEnd"/>
      <w:r w:rsidR="00875F78" w:rsidRPr="00B14ED8">
        <w:rPr>
          <w:rFonts w:ascii="Times New Roman" w:eastAsia="Times New Roman" w:hAnsi="Times New Roman" w:cs="Times New Roman"/>
          <w:sz w:val="24"/>
          <w:szCs w:val="24"/>
        </w:rPr>
        <w:t xml:space="preserve"> data panel </w:t>
      </w:r>
      <w:r w:rsidRPr="00B14ED8">
        <w:rPr>
          <w:rFonts w:ascii="Times New Roman" w:eastAsia="Times New Roman" w:hAnsi="Times New Roman" w:cs="Times New Roman"/>
          <w:sz w:val="24"/>
          <w:szCs w:val="24"/>
        </w:rPr>
        <w:t>(</w:t>
      </w:r>
      <w:proofErr w:type="spellStart"/>
      <w:r w:rsidRPr="00B14ED8">
        <w:rPr>
          <w:rFonts w:ascii="Times New Roman" w:eastAsia="Times New Roman" w:hAnsi="Times New Roman" w:cs="Times New Roman"/>
          <w:sz w:val="24"/>
          <w:szCs w:val="24"/>
        </w:rPr>
        <w:t>kombinasi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analisa</w:t>
      </w:r>
      <w:proofErr w:type="spellEnd"/>
      <w:r w:rsidRPr="00B14ED8">
        <w:rPr>
          <w:rFonts w:ascii="Times New Roman" w:eastAsia="Times New Roman" w:hAnsi="Times New Roman" w:cs="Times New Roman"/>
          <w:sz w:val="24"/>
          <w:szCs w:val="24"/>
        </w:rPr>
        <w:t xml:space="preserve"> data </w:t>
      </w:r>
      <w:r w:rsidRPr="00B14ED8">
        <w:rPr>
          <w:rFonts w:ascii="Times New Roman" w:eastAsia="Times New Roman" w:hAnsi="Times New Roman" w:cs="Times New Roman"/>
          <w:i/>
          <w:iCs/>
          <w:sz w:val="24"/>
          <w:szCs w:val="24"/>
        </w:rPr>
        <w:t xml:space="preserve">time series </w:t>
      </w:r>
      <w:r w:rsidRPr="00B14ED8">
        <w:rPr>
          <w:rFonts w:ascii="Times New Roman" w:eastAsia="Times New Roman" w:hAnsi="Times New Roman" w:cs="Times New Roman"/>
          <w:sz w:val="24"/>
          <w:szCs w:val="24"/>
        </w:rPr>
        <w:t xml:space="preserve">dan </w:t>
      </w:r>
      <w:r w:rsidRPr="00B14ED8">
        <w:rPr>
          <w:rFonts w:ascii="Times New Roman" w:eastAsia="Times New Roman" w:hAnsi="Times New Roman" w:cs="Times New Roman"/>
          <w:i/>
          <w:iCs/>
          <w:sz w:val="24"/>
          <w:szCs w:val="24"/>
        </w:rPr>
        <w:t>cross section</w:t>
      </w:r>
      <w:r w:rsidRPr="00B14ED8">
        <w:rPr>
          <w:rFonts w:ascii="Times New Roman" w:eastAsia="Times New Roman" w:hAnsi="Times New Roman" w:cs="Times New Roman"/>
          <w:sz w:val="24"/>
          <w:szCs w:val="24"/>
        </w:rPr>
        <w:t xml:space="preserve">) </w:t>
      </w:r>
      <w:proofErr w:type="spellStart"/>
      <w:r w:rsidR="00875F78" w:rsidRPr="00B14ED8">
        <w:rPr>
          <w:rFonts w:ascii="Times New Roman" w:eastAsia="Times New Roman" w:hAnsi="Times New Roman" w:cs="Times New Roman"/>
          <w:sz w:val="24"/>
          <w:szCs w:val="24"/>
        </w:rPr>
        <w:t>dengan</w:t>
      </w:r>
      <w:proofErr w:type="spellEnd"/>
      <w:r w:rsidR="00875F78" w:rsidRPr="00B14ED8">
        <w:rPr>
          <w:rFonts w:ascii="Times New Roman" w:eastAsia="Times New Roman" w:hAnsi="Times New Roman" w:cs="Times New Roman"/>
          <w:sz w:val="24"/>
          <w:szCs w:val="24"/>
        </w:rPr>
        <w:t xml:space="preserve"> </w:t>
      </w:r>
      <w:proofErr w:type="spellStart"/>
      <w:r w:rsidR="00875F78" w:rsidRPr="00B14ED8">
        <w:rPr>
          <w:rFonts w:ascii="Times New Roman" w:eastAsia="Times New Roman" w:hAnsi="Times New Roman" w:cs="Times New Roman"/>
          <w:sz w:val="24"/>
          <w:szCs w:val="24"/>
        </w:rPr>
        <w:t>dukungan</w:t>
      </w:r>
      <w:proofErr w:type="spellEnd"/>
      <w:r w:rsidR="00875F78" w:rsidRPr="00B14ED8">
        <w:rPr>
          <w:rFonts w:ascii="Times New Roman" w:eastAsia="Times New Roman" w:hAnsi="Times New Roman" w:cs="Times New Roman"/>
          <w:sz w:val="24"/>
          <w:szCs w:val="24"/>
        </w:rPr>
        <w:t xml:space="preserve"> program </w:t>
      </w:r>
      <w:proofErr w:type="spellStart"/>
      <w:r w:rsidR="00875F78" w:rsidRPr="00B14ED8">
        <w:rPr>
          <w:rFonts w:ascii="Times New Roman" w:eastAsia="Times New Roman" w:hAnsi="Times New Roman" w:cs="Times New Roman"/>
          <w:sz w:val="24"/>
          <w:szCs w:val="24"/>
        </w:rPr>
        <w:t>aplikasi</w:t>
      </w:r>
      <w:proofErr w:type="spellEnd"/>
      <w:r w:rsidR="00875F78" w:rsidRPr="00B14ED8">
        <w:rPr>
          <w:rFonts w:ascii="Times New Roman" w:eastAsia="Times New Roman" w:hAnsi="Times New Roman" w:cs="Times New Roman"/>
          <w:sz w:val="24"/>
          <w:szCs w:val="24"/>
        </w:rPr>
        <w:t xml:space="preserve"> E-Views </w:t>
      </w:r>
      <w:proofErr w:type="spellStart"/>
      <w:r w:rsidR="00875F78" w:rsidRPr="00B14ED8">
        <w:rPr>
          <w:rFonts w:ascii="Times New Roman" w:eastAsia="Times New Roman" w:hAnsi="Times New Roman" w:cs="Times New Roman"/>
          <w:sz w:val="24"/>
          <w:szCs w:val="24"/>
        </w:rPr>
        <w:t>seri</w:t>
      </w:r>
      <w:proofErr w:type="spellEnd"/>
      <w:r w:rsidR="00875F78" w:rsidRPr="00B14ED8">
        <w:rPr>
          <w:rFonts w:ascii="Times New Roman" w:eastAsia="Times New Roman" w:hAnsi="Times New Roman" w:cs="Times New Roman"/>
          <w:sz w:val="24"/>
          <w:szCs w:val="24"/>
        </w:rPr>
        <w:t xml:space="preserve"> 12.</w:t>
      </w:r>
    </w:p>
    <w:p w14:paraId="0AF0C6F5" w14:textId="77777777" w:rsidR="00B14ED8" w:rsidRPr="00B14ED8" w:rsidRDefault="00B14ED8" w:rsidP="00B14ED8">
      <w:pPr>
        <w:tabs>
          <w:tab w:val="left" w:pos="567"/>
        </w:tabs>
        <w:spacing w:after="0" w:line="360" w:lineRule="auto"/>
        <w:ind w:firstLine="567"/>
        <w:jc w:val="both"/>
        <w:rPr>
          <w:rFonts w:ascii="Times New Roman" w:eastAsia="Times New Roman" w:hAnsi="Times New Roman" w:cs="Times New Roman"/>
          <w:sz w:val="24"/>
          <w:szCs w:val="24"/>
        </w:rPr>
      </w:pPr>
    </w:p>
    <w:p w14:paraId="2A724951" w14:textId="77777777" w:rsidR="005111AC" w:rsidRPr="00B14ED8" w:rsidRDefault="00D46250" w:rsidP="00B14ED8">
      <w:pPr>
        <w:tabs>
          <w:tab w:val="left" w:pos="567"/>
        </w:tabs>
        <w:spacing w:after="0" w:line="360" w:lineRule="auto"/>
        <w:jc w:val="both"/>
        <w:rPr>
          <w:rFonts w:ascii="Times New Roman" w:eastAsia="Times New Roman" w:hAnsi="Times New Roman" w:cs="Times New Roman"/>
          <w:b/>
          <w:sz w:val="24"/>
          <w:szCs w:val="24"/>
        </w:rPr>
      </w:pPr>
      <w:r w:rsidRPr="00B14ED8">
        <w:rPr>
          <w:rFonts w:ascii="Times New Roman" w:eastAsia="Times New Roman" w:hAnsi="Times New Roman" w:cs="Times New Roman"/>
          <w:b/>
          <w:sz w:val="24"/>
          <w:szCs w:val="24"/>
        </w:rPr>
        <w:t>D.</w:t>
      </w:r>
      <w:r w:rsidRPr="00B14ED8">
        <w:rPr>
          <w:rFonts w:ascii="Times New Roman" w:eastAsia="Times New Roman" w:hAnsi="Times New Roman" w:cs="Times New Roman"/>
          <w:b/>
          <w:sz w:val="24"/>
          <w:szCs w:val="24"/>
        </w:rPr>
        <w:tab/>
        <w:t>HASIL DAN PEMBAHASAN</w:t>
      </w:r>
    </w:p>
    <w:p w14:paraId="23841713" w14:textId="289315A2" w:rsidR="005677F0" w:rsidRPr="00B14ED8" w:rsidRDefault="00A465C4" w:rsidP="00B14ED8">
      <w:pPr>
        <w:tabs>
          <w:tab w:val="left" w:pos="567"/>
        </w:tabs>
        <w:spacing w:after="0" w:line="360" w:lineRule="auto"/>
        <w:jc w:val="both"/>
        <w:rPr>
          <w:rFonts w:ascii="Times New Roman" w:eastAsia="Times New Roman" w:hAnsi="Times New Roman" w:cs="Times New Roman"/>
          <w:b/>
          <w:bCs/>
          <w:sz w:val="24"/>
          <w:szCs w:val="24"/>
        </w:rPr>
      </w:pPr>
      <w:proofErr w:type="spellStart"/>
      <w:r w:rsidRPr="00B14ED8">
        <w:rPr>
          <w:rFonts w:ascii="Times New Roman" w:eastAsia="Times New Roman" w:hAnsi="Times New Roman" w:cs="Times New Roman"/>
          <w:b/>
          <w:bCs/>
          <w:sz w:val="24"/>
          <w:szCs w:val="24"/>
        </w:rPr>
        <w:t>Analisis</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Regresi</w:t>
      </w:r>
      <w:proofErr w:type="spellEnd"/>
      <w:r w:rsidRPr="00B14ED8">
        <w:rPr>
          <w:rFonts w:ascii="Times New Roman" w:eastAsia="Times New Roman" w:hAnsi="Times New Roman" w:cs="Times New Roman"/>
          <w:b/>
          <w:bCs/>
          <w:sz w:val="24"/>
          <w:szCs w:val="24"/>
        </w:rPr>
        <w:t xml:space="preserve"> Data Panel</w:t>
      </w:r>
    </w:p>
    <w:p w14:paraId="48165A9F" w14:textId="06143253" w:rsidR="000A73C7" w:rsidRPr="00B14ED8" w:rsidRDefault="008953CB" w:rsidP="00B14ED8">
      <w:pPr>
        <w:tabs>
          <w:tab w:val="left" w:pos="567"/>
        </w:tabs>
        <w:spacing w:after="0" w:line="360" w:lineRule="auto"/>
        <w:ind w:firstLine="567"/>
        <w:jc w:val="both"/>
        <w:rPr>
          <w:rFonts w:ascii="Times New Roman" w:eastAsia="Times New Roman" w:hAnsi="Times New Roman" w:cs="Times New Roman"/>
          <w:sz w:val="24"/>
          <w:szCs w:val="24"/>
        </w:rPr>
      </w:pPr>
      <w:proofErr w:type="spellStart"/>
      <w:r w:rsidRPr="00B14ED8">
        <w:rPr>
          <w:rFonts w:ascii="Times New Roman" w:eastAsia="Times New Roman" w:hAnsi="Times New Roman" w:cs="Times New Roman"/>
          <w:sz w:val="24"/>
          <w:szCs w:val="24"/>
        </w:rPr>
        <w:t>A</w:t>
      </w:r>
      <w:r w:rsidR="00E37661" w:rsidRPr="00B14ED8">
        <w:rPr>
          <w:rFonts w:ascii="Times New Roman" w:eastAsia="Times New Roman" w:hAnsi="Times New Roman" w:cs="Times New Roman"/>
          <w:sz w:val="24"/>
          <w:szCs w:val="24"/>
        </w:rPr>
        <w:t>nalisis</w:t>
      </w:r>
      <w:proofErr w:type="spellEnd"/>
      <w:r w:rsidR="00E37661" w:rsidRPr="00B14ED8">
        <w:rPr>
          <w:rFonts w:ascii="Times New Roman" w:eastAsia="Times New Roman" w:hAnsi="Times New Roman" w:cs="Times New Roman"/>
          <w:sz w:val="24"/>
          <w:szCs w:val="24"/>
        </w:rPr>
        <w:t xml:space="preserve"> </w:t>
      </w:r>
      <w:proofErr w:type="spellStart"/>
      <w:r w:rsidR="00E37661" w:rsidRPr="00B14ED8">
        <w:rPr>
          <w:rFonts w:ascii="Times New Roman" w:eastAsia="Times New Roman" w:hAnsi="Times New Roman" w:cs="Times New Roman"/>
          <w:sz w:val="24"/>
          <w:szCs w:val="24"/>
        </w:rPr>
        <w:t>regresi</w:t>
      </w:r>
      <w:proofErr w:type="spellEnd"/>
      <w:r w:rsidR="00E37661" w:rsidRPr="00B14ED8">
        <w:rPr>
          <w:rFonts w:ascii="Times New Roman" w:eastAsia="Times New Roman" w:hAnsi="Times New Roman" w:cs="Times New Roman"/>
          <w:sz w:val="24"/>
          <w:szCs w:val="24"/>
        </w:rPr>
        <w:t xml:space="preserve"> data panel</w:t>
      </w:r>
      <w:r w:rsidR="00B034F0"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dilakukan</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untuk</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mengetahui</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besarnya</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nilai</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pengaruh</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variabel</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independen</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terhadap</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variabel</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dependen</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serta</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bagaimana</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peran</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dari</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variabel</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moderasi</w:t>
      </w:r>
      <w:proofErr w:type="spellEnd"/>
      <w:r w:rsidR="00C74DEC" w:rsidRPr="00B14ED8">
        <w:rPr>
          <w:rFonts w:ascii="Times New Roman" w:eastAsia="Times New Roman" w:hAnsi="Times New Roman" w:cs="Times New Roman"/>
          <w:sz w:val="24"/>
          <w:szCs w:val="24"/>
        </w:rPr>
        <w:t xml:space="preserve"> yang </w:t>
      </w:r>
      <w:proofErr w:type="spellStart"/>
      <w:r w:rsidR="00C74DEC" w:rsidRPr="00B14ED8">
        <w:rPr>
          <w:rFonts w:ascii="Times New Roman" w:eastAsia="Times New Roman" w:hAnsi="Times New Roman" w:cs="Times New Roman"/>
          <w:sz w:val="24"/>
          <w:szCs w:val="24"/>
        </w:rPr>
        <w:t>diajukan</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yaitu</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manajemen</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risiko</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Berikut</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tabel</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hasil</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analisis</w:t>
      </w:r>
      <w:proofErr w:type="spellEnd"/>
      <w:r w:rsidR="00C74DEC" w:rsidRPr="00B14ED8">
        <w:rPr>
          <w:rFonts w:ascii="Times New Roman" w:eastAsia="Times New Roman" w:hAnsi="Times New Roman" w:cs="Times New Roman"/>
          <w:sz w:val="24"/>
          <w:szCs w:val="24"/>
        </w:rPr>
        <w:t xml:space="preserve"> </w:t>
      </w:r>
      <w:proofErr w:type="spellStart"/>
      <w:r w:rsidR="00C74DEC" w:rsidRPr="00B14ED8">
        <w:rPr>
          <w:rFonts w:ascii="Times New Roman" w:eastAsia="Times New Roman" w:hAnsi="Times New Roman" w:cs="Times New Roman"/>
          <w:sz w:val="24"/>
          <w:szCs w:val="24"/>
        </w:rPr>
        <w:t>regresi</w:t>
      </w:r>
      <w:proofErr w:type="spellEnd"/>
      <w:r w:rsidR="00C74DEC" w:rsidRPr="00B14ED8">
        <w:rPr>
          <w:rFonts w:ascii="Times New Roman" w:eastAsia="Times New Roman" w:hAnsi="Times New Roman" w:cs="Times New Roman"/>
          <w:sz w:val="24"/>
          <w:szCs w:val="24"/>
        </w:rPr>
        <w:t xml:space="preserve"> data panel</w:t>
      </w:r>
      <w:r w:rsidR="00B548D6" w:rsidRPr="00B14ED8">
        <w:rPr>
          <w:rFonts w:ascii="Times New Roman" w:eastAsia="Times New Roman" w:hAnsi="Times New Roman" w:cs="Times New Roman"/>
          <w:sz w:val="24"/>
          <w:szCs w:val="24"/>
        </w:rPr>
        <w:t xml:space="preserve"> </w:t>
      </w:r>
      <w:proofErr w:type="spellStart"/>
      <w:r w:rsidR="00B548D6" w:rsidRPr="00B14ED8">
        <w:rPr>
          <w:rFonts w:ascii="Times New Roman" w:eastAsia="Times New Roman" w:hAnsi="Times New Roman" w:cs="Times New Roman"/>
          <w:sz w:val="24"/>
          <w:szCs w:val="24"/>
        </w:rPr>
        <w:t>penelitian</w:t>
      </w:r>
      <w:proofErr w:type="spellEnd"/>
      <w:r w:rsidR="00CB1FAD" w:rsidRPr="00B14ED8">
        <w:rPr>
          <w:rFonts w:ascii="Times New Roman" w:eastAsia="Times New Roman" w:hAnsi="Times New Roman" w:cs="Times New Roman"/>
          <w:sz w:val="24"/>
          <w:szCs w:val="24"/>
        </w:rPr>
        <w:t>:</w:t>
      </w:r>
    </w:p>
    <w:p w14:paraId="0C08CE79" w14:textId="0FE757E2" w:rsidR="008E7B4A" w:rsidRPr="00B14ED8" w:rsidRDefault="008E7B4A" w:rsidP="00B14ED8">
      <w:pPr>
        <w:pStyle w:val="Caption"/>
        <w:keepNext/>
        <w:spacing w:after="0" w:line="360" w:lineRule="auto"/>
        <w:jc w:val="center"/>
        <w:rPr>
          <w:rFonts w:ascii="Times New Roman" w:hAnsi="Times New Roman" w:cs="Times New Roman"/>
          <w:i w:val="0"/>
          <w:iCs w:val="0"/>
          <w:color w:val="000000" w:themeColor="text1"/>
          <w:sz w:val="24"/>
          <w:szCs w:val="24"/>
        </w:rPr>
      </w:pPr>
      <w:proofErr w:type="spellStart"/>
      <w:r w:rsidRPr="00B14ED8">
        <w:rPr>
          <w:rFonts w:ascii="Times New Roman" w:hAnsi="Times New Roman" w:cs="Times New Roman"/>
          <w:b/>
          <w:bCs/>
          <w:i w:val="0"/>
          <w:iCs w:val="0"/>
          <w:color w:val="000000" w:themeColor="text1"/>
          <w:sz w:val="24"/>
          <w:szCs w:val="24"/>
        </w:rPr>
        <w:t>Tabel</w:t>
      </w:r>
      <w:proofErr w:type="spellEnd"/>
      <w:r w:rsidRPr="00B14ED8">
        <w:rPr>
          <w:rFonts w:ascii="Times New Roman" w:hAnsi="Times New Roman" w:cs="Times New Roman"/>
          <w:b/>
          <w:bCs/>
          <w:i w:val="0"/>
          <w:iCs w:val="0"/>
          <w:color w:val="000000" w:themeColor="text1"/>
          <w:sz w:val="24"/>
          <w:szCs w:val="24"/>
        </w:rPr>
        <w:t xml:space="preserve">  </w:t>
      </w:r>
      <w:r w:rsidRPr="00B14ED8">
        <w:rPr>
          <w:rFonts w:ascii="Times New Roman" w:hAnsi="Times New Roman" w:cs="Times New Roman"/>
          <w:b/>
          <w:bCs/>
          <w:i w:val="0"/>
          <w:iCs w:val="0"/>
          <w:color w:val="000000" w:themeColor="text1"/>
          <w:sz w:val="24"/>
          <w:szCs w:val="24"/>
        </w:rPr>
        <w:fldChar w:fldCharType="begin"/>
      </w:r>
      <w:r w:rsidRPr="00B14ED8">
        <w:rPr>
          <w:rFonts w:ascii="Times New Roman" w:hAnsi="Times New Roman" w:cs="Times New Roman"/>
          <w:b/>
          <w:bCs/>
          <w:i w:val="0"/>
          <w:iCs w:val="0"/>
          <w:color w:val="000000" w:themeColor="text1"/>
          <w:sz w:val="24"/>
          <w:szCs w:val="24"/>
        </w:rPr>
        <w:instrText xml:space="preserve"> SEQ Tabel_ \* ARABIC </w:instrText>
      </w:r>
      <w:r w:rsidRPr="00B14ED8">
        <w:rPr>
          <w:rFonts w:ascii="Times New Roman" w:hAnsi="Times New Roman" w:cs="Times New Roman"/>
          <w:b/>
          <w:bCs/>
          <w:i w:val="0"/>
          <w:iCs w:val="0"/>
          <w:color w:val="000000" w:themeColor="text1"/>
          <w:sz w:val="24"/>
          <w:szCs w:val="24"/>
        </w:rPr>
        <w:fldChar w:fldCharType="separate"/>
      </w:r>
      <w:r w:rsidR="00940D99" w:rsidRPr="00B14ED8">
        <w:rPr>
          <w:rFonts w:ascii="Times New Roman" w:hAnsi="Times New Roman" w:cs="Times New Roman"/>
          <w:b/>
          <w:bCs/>
          <w:i w:val="0"/>
          <w:iCs w:val="0"/>
          <w:noProof/>
          <w:color w:val="000000" w:themeColor="text1"/>
          <w:sz w:val="24"/>
          <w:szCs w:val="24"/>
        </w:rPr>
        <w:t>2</w:t>
      </w:r>
      <w:r w:rsidRPr="00B14ED8">
        <w:rPr>
          <w:rFonts w:ascii="Times New Roman" w:hAnsi="Times New Roman" w:cs="Times New Roman"/>
          <w:b/>
          <w:bCs/>
          <w:i w:val="0"/>
          <w:iCs w:val="0"/>
          <w:color w:val="000000" w:themeColor="text1"/>
          <w:sz w:val="24"/>
          <w:szCs w:val="24"/>
        </w:rPr>
        <w:fldChar w:fldCharType="end"/>
      </w:r>
      <w:r w:rsidRPr="00B14ED8">
        <w:rPr>
          <w:rFonts w:ascii="Times New Roman" w:hAnsi="Times New Roman" w:cs="Times New Roman"/>
          <w:b/>
          <w:bCs/>
          <w:i w:val="0"/>
          <w:iCs w:val="0"/>
          <w:color w:val="000000" w:themeColor="text1"/>
          <w:sz w:val="24"/>
          <w:szCs w:val="24"/>
        </w:rPr>
        <w:t xml:space="preserve">. </w:t>
      </w:r>
      <w:r w:rsidR="00985495" w:rsidRPr="00B14ED8">
        <w:rPr>
          <w:rFonts w:ascii="Times New Roman" w:hAnsi="Times New Roman" w:cs="Times New Roman"/>
          <w:i w:val="0"/>
          <w:iCs w:val="0"/>
          <w:color w:val="000000" w:themeColor="text1"/>
          <w:sz w:val="24"/>
          <w:szCs w:val="24"/>
        </w:rPr>
        <w:t xml:space="preserve">Hasil </w:t>
      </w:r>
      <w:proofErr w:type="spellStart"/>
      <w:r w:rsidR="00985495" w:rsidRPr="00B14ED8">
        <w:rPr>
          <w:rFonts w:ascii="Times New Roman" w:hAnsi="Times New Roman" w:cs="Times New Roman"/>
          <w:i w:val="0"/>
          <w:iCs w:val="0"/>
          <w:color w:val="000000" w:themeColor="text1"/>
          <w:sz w:val="24"/>
          <w:szCs w:val="24"/>
        </w:rPr>
        <w:t>Analisis</w:t>
      </w:r>
      <w:proofErr w:type="spellEnd"/>
      <w:r w:rsidR="00985495" w:rsidRPr="00B14ED8">
        <w:rPr>
          <w:rFonts w:ascii="Times New Roman" w:hAnsi="Times New Roman" w:cs="Times New Roman"/>
          <w:i w:val="0"/>
          <w:iCs w:val="0"/>
          <w:color w:val="000000" w:themeColor="text1"/>
          <w:sz w:val="24"/>
          <w:szCs w:val="24"/>
        </w:rPr>
        <w:t xml:space="preserve"> </w:t>
      </w:r>
      <w:proofErr w:type="spellStart"/>
      <w:r w:rsidR="003850E6" w:rsidRPr="00B14ED8">
        <w:rPr>
          <w:rFonts w:ascii="Times New Roman" w:hAnsi="Times New Roman" w:cs="Times New Roman"/>
          <w:i w:val="0"/>
          <w:iCs w:val="0"/>
          <w:color w:val="000000" w:themeColor="text1"/>
          <w:sz w:val="24"/>
          <w:szCs w:val="24"/>
        </w:rPr>
        <w:t>Regresi</w:t>
      </w:r>
      <w:proofErr w:type="spellEnd"/>
      <w:r w:rsidR="003850E6" w:rsidRPr="00B14ED8">
        <w:rPr>
          <w:rFonts w:ascii="Times New Roman" w:hAnsi="Times New Roman" w:cs="Times New Roman"/>
          <w:i w:val="0"/>
          <w:iCs w:val="0"/>
          <w:color w:val="000000" w:themeColor="text1"/>
          <w:sz w:val="24"/>
          <w:szCs w:val="24"/>
        </w:rPr>
        <w:t xml:space="preserve"> Data Panel</w:t>
      </w:r>
    </w:p>
    <w:tbl>
      <w:tblPr>
        <w:tblW w:w="5000" w:type="pct"/>
        <w:tblCellMar>
          <w:left w:w="0" w:type="dxa"/>
          <w:right w:w="0" w:type="dxa"/>
        </w:tblCellMar>
        <w:tblLook w:val="0000" w:firstRow="0" w:lastRow="0" w:firstColumn="0" w:lastColumn="0" w:noHBand="0" w:noVBand="0"/>
      </w:tblPr>
      <w:tblGrid>
        <w:gridCol w:w="3727"/>
        <w:gridCol w:w="1294"/>
        <w:gridCol w:w="1417"/>
        <w:gridCol w:w="1419"/>
        <w:gridCol w:w="1170"/>
      </w:tblGrid>
      <w:tr w:rsidR="008E7B4A" w:rsidRPr="00B14ED8" w14:paraId="1C0032CE" w14:textId="77777777" w:rsidTr="008E7B4A">
        <w:trPr>
          <w:trHeight w:val="225"/>
        </w:trPr>
        <w:tc>
          <w:tcPr>
            <w:tcW w:w="2064" w:type="pct"/>
            <w:tcBorders>
              <w:top w:val="single" w:sz="4" w:space="0" w:color="auto"/>
            </w:tcBorders>
            <w:vAlign w:val="center"/>
          </w:tcPr>
          <w:p w14:paraId="2E9191A7" w14:textId="77777777" w:rsidR="008E7B4A" w:rsidRPr="00B14ED8" w:rsidRDefault="008E7B4A" w:rsidP="00B14ED8">
            <w:pPr>
              <w:autoSpaceDE w:val="0"/>
              <w:autoSpaceDN w:val="0"/>
              <w:adjustRightInd w:val="0"/>
              <w:spacing w:after="0" w:line="360" w:lineRule="auto"/>
              <w:rPr>
                <w:rFonts w:ascii="Times New Roman" w:hAnsi="Times New Roman" w:cs="Times New Roman"/>
                <w:color w:val="000000"/>
                <w:sz w:val="20"/>
                <w:szCs w:val="20"/>
              </w:rPr>
            </w:pPr>
            <w:r w:rsidRPr="00B14ED8">
              <w:rPr>
                <w:rFonts w:ascii="Times New Roman" w:hAnsi="Times New Roman" w:cs="Times New Roman"/>
                <w:color w:val="000000"/>
                <w:sz w:val="20"/>
                <w:szCs w:val="20"/>
              </w:rPr>
              <w:t>Variable</w:t>
            </w:r>
          </w:p>
        </w:tc>
        <w:tc>
          <w:tcPr>
            <w:tcW w:w="717" w:type="pct"/>
            <w:tcBorders>
              <w:top w:val="single" w:sz="4" w:space="0" w:color="auto"/>
            </w:tcBorders>
            <w:vAlign w:val="center"/>
          </w:tcPr>
          <w:p w14:paraId="218D74EF" w14:textId="77777777"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Coefficient</w:t>
            </w:r>
          </w:p>
        </w:tc>
        <w:tc>
          <w:tcPr>
            <w:tcW w:w="785" w:type="pct"/>
            <w:tcBorders>
              <w:top w:val="single" w:sz="4" w:space="0" w:color="auto"/>
            </w:tcBorders>
            <w:vAlign w:val="center"/>
          </w:tcPr>
          <w:p w14:paraId="4ACBB051" w14:textId="77777777"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Std. Error</w:t>
            </w:r>
          </w:p>
        </w:tc>
        <w:tc>
          <w:tcPr>
            <w:tcW w:w="786" w:type="pct"/>
            <w:tcBorders>
              <w:top w:val="single" w:sz="4" w:space="0" w:color="auto"/>
            </w:tcBorders>
            <w:vAlign w:val="center"/>
          </w:tcPr>
          <w:p w14:paraId="0337F5D0" w14:textId="77777777"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t-Statistic</w:t>
            </w:r>
          </w:p>
        </w:tc>
        <w:tc>
          <w:tcPr>
            <w:tcW w:w="648" w:type="pct"/>
            <w:tcBorders>
              <w:top w:val="single" w:sz="4" w:space="0" w:color="auto"/>
            </w:tcBorders>
            <w:vAlign w:val="center"/>
          </w:tcPr>
          <w:p w14:paraId="14DDCCA3" w14:textId="665AAAA9"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Prob.</w:t>
            </w:r>
          </w:p>
        </w:tc>
      </w:tr>
      <w:tr w:rsidR="008E7B4A" w:rsidRPr="00B14ED8" w14:paraId="0912AD2A" w14:textId="77777777" w:rsidTr="008E7B4A">
        <w:trPr>
          <w:trHeight w:hRule="exact" w:val="90"/>
        </w:trPr>
        <w:tc>
          <w:tcPr>
            <w:tcW w:w="2064" w:type="pct"/>
            <w:tcBorders>
              <w:bottom w:val="single" w:sz="4" w:space="0" w:color="auto"/>
            </w:tcBorders>
            <w:vAlign w:val="bottom"/>
          </w:tcPr>
          <w:p w14:paraId="4EA9CC0C" w14:textId="77777777" w:rsidR="008E7B4A" w:rsidRPr="00B14ED8" w:rsidRDefault="008E7B4A" w:rsidP="00B14ED8">
            <w:pPr>
              <w:autoSpaceDE w:val="0"/>
              <w:autoSpaceDN w:val="0"/>
              <w:adjustRightInd w:val="0"/>
              <w:spacing w:after="0" w:line="360" w:lineRule="auto"/>
              <w:jc w:val="center"/>
              <w:rPr>
                <w:rFonts w:ascii="Times New Roman" w:hAnsi="Times New Roman" w:cs="Times New Roman"/>
                <w:color w:val="000000"/>
                <w:sz w:val="20"/>
                <w:szCs w:val="20"/>
              </w:rPr>
            </w:pPr>
          </w:p>
        </w:tc>
        <w:tc>
          <w:tcPr>
            <w:tcW w:w="717" w:type="pct"/>
            <w:tcBorders>
              <w:bottom w:val="single" w:sz="4" w:space="0" w:color="auto"/>
            </w:tcBorders>
            <w:vAlign w:val="bottom"/>
          </w:tcPr>
          <w:p w14:paraId="6305BF93" w14:textId="77777777" w:rsidR="008E7B4A" w:rsidRPr="00B14ED8" w:rsidRDefault="008E7B4A" w:rsidP="00B14ED8">
            <w:pPr>
              <w:autoSpaceDE w:val="0"/>
              <w:autoSpaceDN w:val="0"/>
              <w:adjustRightInd w:val="0"/>
              <w:spacing w:after="0" w:line="360" w:lineRule="auto"/>
              <w:jc w:val="center"/>
              <w:rPr>
                <w:rFonts w:ascii="Times New Roman" w:hAnsi="Times New Roman" w:cs="Times New Roman"/>
                <w:color w:val="000000"/>
                <w:sz w:val="20"/>
                <w:szCs w:val="20"/>
              </w:rPr>
            </w:pPr>
          </w:p>
        </w:tc>
        <w:tc>
          <w:tcPr>
            <w:tcW w:w="785" w:type="pct"/>
            <w:tcBorders>
              <w:bottom w:val="single" w:sz="4" w:space="0" w:color="auto"/>
            </w:tcBorders>
            <w:vAlign w:val="bottom"/>
          </w:tcPr>
          <w:p w14:paraId="6E9354B9" w14:textId="77777777" w:rsidR="008E7B4A" w:rsidRPr="00B14ED8" w:rsidRDefault="008E7B4A" w:rsidP="00B14ED8">
            <w:pPr>
              <w:autoSpaceDE w:val="0"/>
              <w:autoSpaceDN w:val="0"/>
              <w:adjustRightInd w:val="0"/>
              <w:spacing w:after="0" w:line="360" w:lineRule="auto"/>
              <w:jc w:val="center"/>
              <w:rPr>
                <w:rFonts w:ascii="Times New Roman" w:hAnsi="Times New Roman" w:cs="Times New Roman"/>
                <w:color w:val="000000"/>
                <w:sz w:val="20"/>
                <w:szCs w:val="20"/>
              </w:rPr>
            </w:pPr>
          </w:p>
        </w:tc>
        <w:tc>
          <w:tcPr>
            <w:tcW w:w="786" w:type="pct"/>
            <w:tcBorders>
              <w:bottom w:val="single" w:sz="4" w:space="0" w:color="auto"/>
            </w:tcBorders>
            <w:vAlign w:val="bottom"/>
          </w:tcPr>
          <w:p w14:paraId="252633BF" w14:textId="77777777" w:rsidR="008E7B4A" w:rsidRPr="00B14ED8" w:rsidRDefault="008E7B4A" w:rsidP="00B14ED8">
            <w:pPr>
              <w:autoSpaceDE w:val="0"/>
              <w:autoSpaceDN w:val="0"/>
              <w:adjustRightInd w:val="0"/>
              <w:spacing w:after="0" w:line="360" w:lineRule="auto"/>
              <w:jc w:val="center"/>
              <w:rPr>
                <w:rFonts w:ascii="Times New Roman" w:hAnsi="Times New Roman" w:cs="Times New Roman"/>
                <w:color w:val="000000"/>
                <w:sz w:val="20"/>
                <w:szCs w:val="20"/>
              </w:rPr>
            </w:pPr>
          </w:p>
        </w:tc>
        <w:tc>
          <w:tcPr>
            <w:tcW w:w="648" w:type="pct"/>
            <w:tcBorders>
              <w:bottom w:val="single" w:sz="4" w:space="0" w:color="auto"/>
            </w:tcBorders>
            <w:vAlign w:val="bottom"/>
          </w:tcPr>
          <w:p w14:paraId="459BE7A6" w14:textId="77777777" w:rsidR="008E7B4A" w:rsidRPr="00B14ED8" w:rsidRDefault="008E7B4A" w:rsidP="00B14ED8">
            <w:pPr>
              <w:autoSpaceDE w:val="0"/>
              <w:autoSpaceDN w:val="0"/>
              <w:adjustRightInd w:val="0"/>
              <w:spacing w:after="0" w:line="360" w:lineRule="auto"/>
              <w:jc w:val="center"/>
              <w:rPr>
                <w:rFonts w:ascii="Times New Roman" w:hAnsi="Times New Roman" w:cs="Times New Roman"/>
                <w:color w:val="000000"/>
                <w:sz w:val="20"/>
                <w:szCs w:val="20"/>
              </w:rPr>
            </w:pPr>
          </w:p>
        </w:tc>
      </w:tr>
      <w:tr w:rsidR="008E7B4A" w:rsidRPr="00B14ED8" w14:paraId="6EB88975" w14:textId="77777777" w:rsidTr="008E7B4A">
        <w:trPr>
          <w:trHeight w:hRule="exact" w:val="135"/>
        </w:trPr>
        <w:tc>
          <w:tcPr>
            <w:tcW w:w="2064" w:type="pct"/>
            <w:tcBorders>
              <w:top w:val="single" w:sz="4" w:space="0" w:color="auto"/>
            </w:tcBorders>
            <w:vAlign w:val="bottom"/>
          </w:tcPr>
          <w:p w14:paraId="2C89E047" w14:textId="77777777" w:rsidR="008E7B4A" w:rsidRPr="00B14ED8" w:rsidRDefault="008E7B4A" w:rsidP="00B14ED8">
            <w:pPr>
              <w:autoSpaceDE w:val="0"/>
              <w:autoSpaceDN w:val="0"/>
              <w:adjustRightInd w:val="0"/>
              <w:spacing w:after="0" w:line="360" w:lineRule="auto"/>
              <w:jc w:val="center"/>
              <w:rPr>
                <w:rFonts w:ascii="Times New Roman" w:hAnsi="Times New Roman" w:cs="Times New Roman"/>
                <w:color w:val="000000"/>
                <w:sz w:val="20"/>
                <w:szCs w:val="20"/>
              </w:rPr>
            </w:pPr>
          </w:p>
        </w:tc>
        <w:tc>
          <w:tcPr>
            <w:tcW w:w="717" w:type="pct"/>
            <w:tcBorders>
              <w:top w:val="single" w:sz="4" w:space="0" w:color="auto"/>
            </w:tcBorders>
            <w:vAlign w:val="bottom"/>
          </w:tcPr>
          <w:p w14:paraId="406DCA3A" w14:textId="77777777" w:rsidR="008E7B4A" w:rsidRPr="00B14ED8" w:rsidRDefault="008E7B4A" w:rsidP="00B14ED8">
            <w:pPr>
              <w:autoSpaceDE w:val="0"/>
              <w:autoSpaceDN w:val="0"/>
              <w:adjustRightInd w:val="0"/>
              <w:spacing w:after="0" w:line="360" w:lineRule="auto"/>
              <w:jc w:val="center"/>
              <w:rPr>
                <w:rFonts w:ascii="Times New Roman" w:hAnsi="Times New Roman" w:cs="Times New Roman"/>
                <w:color w:val="000000"/>
                <w:sz w:val="20"/>
                <w:szCs w:val="20"/>
              </w:rPr>
            </w:pPr>
          </w:p>
        </w:tc>
        <w:tc>
          <w:tcPr>
            <w:tcW w:w="785" w:type="pct"/>
            <w:tcBorders>
              <w:top w:val="single" w:sz="4" w:space="0" w:color="auto"/>
            </w:tcBorders>
            <w:vAlign w:val="bottom"/>
          </w:tcPr>
          <w:p w14:paraId="4EF3E305" w14:textId="77777777" w:rsidR="008E7B4A" w:rsidRPr="00B14ED8" w:rsidRDefault="008E7B4A" w:rsidP="00B14ED8">
            <w:pPr>
              <w:autoSpaceDE w:val="0"/>
              <w:autoSpaceDN w:val="0"/>
              <w:adjustRightInd w:val="0"/>
              <w:spacing w:after="0" w:line="360" w:lineRule="auto"/>
              <w:jc w:val="center"/>
              <w:rPr>
                <w:rFonts w:ascii="Times New Roman" w:hAnsi="Times New Roman" w:cs="Times New Roman"/>
                <w:color w:val="000000"/>
                <w:sz w:val="20"/>
                <w:szCs w:val="20"/>
              </w:rPr>
            </w:pPr>
          </w:p>
        </w:tc>
        <w:tc>
          <w:tcPr>
            <w:tcW w:w="786" w:type="pct"/>
            <w:tcBorders>
              <w:top w:val="single" w:sz="4" w:space="0" w:color="auto"/>
            </w:tcBorders>
            <w:vAlign w:val="bottom"/>
          </w:tcPr>
          <w:p w14:paraId="7D590962" w14:textId="77777777" w:rsidR="008E7B4A" w:rsidRPr="00B14ED8" w:rsidRDefault="008E7B4A" w:rsidP="00B14ED8">
            <w:pPr>
              <w:autoSpaceDE w:val="0"/>
              <w:autoSpaceDN w:val="0"/>
              <w:adjustRightInd w:val="0"/>
              <w:spacing w:after="0" w:line="360" w:lineRule="auto"/>
              <w:jc w:val="center"/>
              <w:rPr>
                <w:rFonts w:ascii="Times New Roman" w:hAnsi="Times New Roman" w:cs="Times New Roman"/>
                <w:color w:val="000000"/>
                <w:sz w:val="20"/>
                <w:szCs w:val="20"/>
              </w:rPr>
            </w:pPr>
          </w:p>
        </w:tc>
        <w:tc>
          <w:tcPr>
            <w:tcW w:w="648" w:type="pct"/>
            <w:tcBorders>
              <w:top w:val="single" w:sz="4" w:space="0" w:color="auto"/>
            </w:tcBorders>
            <w:vAlign w:val="bottom"/>
          </w:tcPr>
          <w:p w14:paraId="5BC9FB3F" w14:textId="77777777" w:rsidR="008E7B4A" w:rsidRPr="00B14ED8" w:rsidRDefault="008E7B4A" w:rsidP="00B14ED8">
            <w:pPr>
              <w:autoSpaceDE w:val="0"/>
              <w:autoSpaceDN w:val="0"/>
              <w:adjustRightInd w:val="0"/>
              <w:spacing w:after="0" w:line="360" w:lineRule="auto"/>
              <w:jc w:val="center"/>
              <w:rPr>
                <w:rFonts w:ascii="Times New Roman" w:hAnsi="Times New Roman" w:cs="Times New Roman"/>
                <w:color w:val="000000"/>
                <w:sz w:val="20"/>
                <w:szCs w:val="20"/>
              </w:rPr>
            </w:pPr>
          </w:p>
        </w:tc>
      </w:tr>
      <w:tr w:rsidR="008E7B4A" w:rsidRPr="00B14ED8" w14:paraId="4B65ABD8" w14:textId="77777777" w:rsidTr="008E7B4A">
        <w:trPr>
          <w:trHeight w:val="225"/>
        </w:trPr>
        <w:tc>
          <w:tcPr>
            <w:tcW w:w="2064" w:type="pct"/>
            <w:vAlign w:val="center"/>
          </w:tcPr>
          <w:p w14:paraId="387E4B16" w14:textId="77777777" w:rsidR="008E7B4A" w:rsidRPr="00B14ED8" w:rsidRDefault="008E7B4A" w:rsidP="00B14ED8">
            <w:pPr>
              <w:autoSpaceDE w:val="0"/>
              <w:autoSpaceDN w:val="0"/>
              <w:adjustRightInd w:val="0"/>
              <w:spacing w:after="0" w:line="360" w:lineRule="auto"/>
              <w:rPr>
                <w:rFonts w:ascii="Times New Roman" w:hAnsi="Times New Roman" w:cs="Times New Roman"/>
                <w:color w:val="000000"/>
                <w:sz w:val="20"/>
                <w:szCs w:val="20"/>
              </w:rPr>
            </w:pPr>
            <w:r w:rsidRPr="00B14ED8">
              <w:rPr>
                <w:rFonts w:ascii="Times New Roman" w:hAnsi="Times New Roman" w:cs="Times New Roman"/>
                <w:color w:val="000000"/>
                <w:sz w:val="20"/>
                <w:szCs w:val="20"/>
              </w:rPr>
              <w:t>C</w:t>
            </w:r>
          </w:p>
        </w:tc>
        <w:tc>
          <w:tcPr>
            <w:tcW w:w="717" w:type="pct"/>
            <w:vAlign w:val="center"/>
          </w:tcPr>
          <w:p w14:paraId="60134EF3" w14:textId="77777777"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-13.39619</w:t>
            </w:r>
          </w:p>
        </w:tc>
        <w:tc>
          <w:tcPr>
            <w:tcW w:w="785" w:type="pct"/>
            <w:vAlign w:val="center"/>
          </w:tcPr>
          <w:p w14:paraId="5FC8B6D0" w14:textId="77777777"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5.294329</w:t>
            </w:r>
          </w:p>
        </w:tc>
        <w:tc>
          <w:tcPr>
            <w:tcW w:w="786" w:type="pct"/>
            <w:vAlign w:val="center"/>
          </w:tcPr>
          <w:p w14:paraId="321A310A" w14:textId="77777777"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-2.530289</w:t>
            </w:r>
          </w:p>
        </w:tc>
        <w:tc>
          <w:tcPr>
            <w:tcW w:w="648" w:type="pct"/>
            <w:vAlign w:val="center"/>
          </w:tcPr>
          <w:p w14:paraId="31D8208E" w14:textId="77777777"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0.0140</w:t>
            </w:r>
          </w:p>
        </w:tc>
      </w:tr>
      <w:tr w:rsidR="008E7B4A" w:rsidRPr="00B14ED8" w14:paraId="18344F69" w14:textId="77777777" w:rsidTr="008E7B4A">
        <w:trPr>
          <w:trHeight w:val="225"/>
        </w:trPr>
        <w:tc>
          <w:tcPr>
            <w:tcW w:w="2064" w:type="pct"/>
            <w:vAlign w:val="center"/>
          </w:tcPr>
          <w:p w14:paraId="167E6985" w14:textId="77777777" w:rsidR="008E7B4A" w:rsidRPr="00B14ED8" w:rsidRDefault="008E7B4A" w:rsidP="00B14ED8">
            <w:pPr>
              <w:autoSpaceDE w:val="0"/>
              <w:autoSpaceDN w:val="0"/>
              <w:adjustRightInd w:val="0"/>
              <w:spacing w:after="0" w:line="360" w:lineRule="auto"/>
              <w:rPr>
                <w:rFonts w:ascii="Times New Roman" w:hAnsi="Times New Roman" w:cs="Times New Roman"/>
                <w:color w:val="000000"/>
                <w:sz w:val="20"/>
                <w:szCs w:val="20"/>
              </w:rPr>
            </w:pPr>
            <w:r w:rsidRPr="00B14ED8">
              <w:rPr>
                <w:rFonts w:ascii="Times New Roman" w:hAnsi="Times New Roman" w:cs="Times New Roman"/>
                <w:color w:val="000000"/>
                <w:sz w:val="20"/>
                <w:szCs w:val="20"/>
              </w:rPr>
              <w:t>MUDHARABAH</w:t>
            </w:r>
          </w:p>
        </w:tc>
        <w:tc>
          <w:tcPr>
            <w:tcW w:w="717" w:type="pct"/>
            <w:vAlign w:val="center"/>
          </w:tcPr>
          <w:p w14:paraId="0AA2C3F3" w14:textId="7C055ACD"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 xml:space="preserve"> 2.469609</w:t>
            </w:r>
          </w:p>
        </w:tc>
        <w:tc>
          <w:tcPr>
            <w:tcW w:w="785" w:type="pct"/>
            <w:vAlign w:val="center"/>
          </w:tcPr>
          <w:p w14:paraId="2143F056" w14:textId="77777777"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0.832579</w:t>
            </w:r>
          </w:p>
        </w:tc>
        <w:tc>
          <w:tcPr>
            <w:tcW w:w="786" w:type="pct"/>
            <w:vAlign w:val="center"/>
          </w:tcPr>
          <w:p w14:paraId="4667C96A" w14:textId="74797277"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 xml:space="preserve"> 2.966217</w:t>
            </w:r>
          </w:p>
        </w:tc>
        <w:tc>
          <w:tcPr>
            <w:tcW w:w="648" w:type="pct"/>
            <w:vAlign w:val="center"/>
          </w:tcPr>
          <w:p w14:paraId="16A6CDDD" w14:textId="77777777"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0.0043</w:t>
            </w:r>
          </w:p>
        </w:tc>
      </w:tr>
      <w:tr w:rsidR="008E7B4A" w:rsidRPr="00B14ED8" w14:paraId="10024EDE" w14:textId="77777777" w:rsidTr="008E7B4A">
        <w:trPr>
          <w:trHeight w:val="225"/>
        </w:trPr>
        <w:tc>
          <w:tcPr>
            <w:tcW w:w="2064" w:type="pct"/>
            <w:vAlign w:val="center"/>
          </w:tcPr>
          <w:p w14:paraId="29D7247F" w14:textId="77777777" w:rsidR="008E7B4A" w:rsidRPr="00B14ED8" w:rsidRDefault="008E7B4A" w:rsidP="00B14ED8">
            <w:pPr>
              <w:autoSpaceDE w:val="0"/>
              <w:autoSpaceDN w:val="0"/>
              <w:adjustRightInd w:val="0"/>
              <w:spacing w:after="0" w:line="360" w:lineRule="auto"/>
              <w:rPr>
                <w:rFonts w:ascii="Times New Roman" w:hAnsi="Times New Roman" w:cs="Times New Roman"/>
                <w:color w:val="000000"/>
                <w:sz w:val="20"/>
                <w:szCs w:val="20"/>
              </w:rPr>
            </w:pPr>
            <w:r w:rsidRPr="00B14ED8">
              <w:rPr>
                <w:rFonts w:ascii="Times New Roman" w:hAnsi="Times New Roman" w:cs="Times New Roman"/>
                <w:color w:val="000000"/>
                <w:sz w:val="20"/>
                <w:szCs w:val="20"/>
              </w:rPr>
              <w:t>MUSYARAKAH</w:t>
            </w:r>
          </w:p>
        </w:tc>
        <w:tc>
          <w:tcPr>
            <w:tcW w:w="717" w:type="pct"/>
            <w:vAlign w:val="center"/>
          </w:tcPr>
          <w:p w14:paraId="3D9FDC33" w14:textId="23CCDC1E"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 xml:space="preserve"> 4.073080</w:t>
            </w:r>
          </w:p>
        </w:tc>
        <w:tc>
          <w:tcPr>
            <w:tcW w:w="785" w:type="pct"/>
            <w:vAlign w:val="center"/>
          </w:tcPr>
          <w:p w14:paraId="38CF75FB" w14:textId="77777777"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1.896709</w:t>
            </w:r>
          </w:p>
        </w:tc>
        <w:tc>
          <w:tcPr>
            <w:tcW w:w="786" w:type="pct"/>
            <w:vAlign w:val="center"/>
          </w:tcPr>
          <w:p w14:paraId="09EDF5C7" w14:textId="72293324"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 xml:space="preserve"> 2.147446</w:t>
            </w:r>
          </w:p>
        </w:tc>
        <w:tc>
          <w:tcPr>
            <w:tcW w:w="648" w:type="pct"/>
            <w:vAlign w:val="center"/>
          </w:tcPr>
          <w:p w14:paraId="08FA93BC" w14:textId="77777777"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0.0358</w:t>
            </w:r>
          </w:p>
        </w:tc>
      </w:tr>
      <w:tr w:rsidR="008E7B4A" w:rsidRPr="00B14ED8" w14:paraId="0F2EC223" w14:textId="77777777" w:rsidTr="008E7B4A">
        <w:trPr>
          <w:trHeight w:val="225"/>
        </w:trPr>
        <w:tc>
          <w:tcPr>
            <w:tcW w:w="2064" w:type="pct"/>
            <w:vAlign w:val="center"/>
          </w:tcPr>
          <w:p w14:paraId="43985DA2" w14:textId="77777777" w:rsidR="008E7B4A" w:rsidRPr="00B14ED8" w:rsidRDefault="008E7B4A" w:rsidP="00B14ED8">
            <w:pPr>
              <w:autoSpaceDE w:val="0"/>
              <w:autoSpaceDN w:val="0"/>
              <w:adjustRightInd w:val="0"/>
              <w:spacing w:after="0" w:line="360" w:lineRule="auto"/>
              <w:rPr>
                <w:rFonts w:ascii="Times New Roman" w:hAnsi="Times New Roman" w:cs="Times New Roman"/>
                <w:color w:val="000000"/>
                <w:sz w:val="20"/>
                <w:szCs w:val="20"/>
              </w:rPr>
            </w:pPr>
            <w:r w:rsidRPr="00B14ED8">
              <w:rPr>
                <w:rFonts w:ascii="Times New Roman" w:hAnsi="Times New Roman" w:cs="Times New Roman"/>
                <w:color w:val="000000"/>
                <w:sz w:val="20"/>
                <w:szCs w:val="20"/>
              </w:rPr>
              <w:t>MANAJEMEN_RISIKO</w:t>
            </w:r>
          </w:p>
        </w:tc>
        <w:tc>
          <w:tcPr>
            <w:tcW w:w="717" w:type="pct"/>
            <w:vAlign w:val="center"/>
          </w:tcPr>
          <w:p w14:paraId="474CF887" w14:textId="05251E3A"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 xml:space="preserve"> 6.443583</w:t>
            </w:r>
          </w:p>
        </w:tc>
        <w:tc>
          <w:tcPr>
            <w:tcW w:w="785" w:type="pct"/>
            <w:vAlign w:val="center"/>
          </w:tcPr>
          <w:p w14:paraId="6EE7235D" w14:textId="77777777"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2.155759</w:t>
            </w:r>
          </w:p>
        </w:tc>
        <w:tc>
          <w:tcPr>
            <w:tcW w:w="786" w:type="pct"/>
            <w:vAlign w:val="center"/>
          </w:tcPr>
          <w:p w14:paraId="34449C33" w14:textId="319BEC48"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 xml:space="preserve"> 2.989008</w:t>
            </w:r>
          </w:p>
        </w:tc>
        <w:tc>
          <w:tcPr>
            <w:tcW w:w="648" w:type="pct"/>
            <w:vAlign w:val="center"/>
          </w:tcPr>
          <w:p w14:paraId="47291C48" w14:textId="77777777"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0.0041</w:t>
            </w:r>
          </w:p>
        </w:tc>
      </w:tr>
      <w:tr w:rsidR="008E7B4A" w:rsidRPr="00B14ED8" w14:paraId="01E0ABA7" w14:textId="77777777" w:rsidTr="008E7B4A">
        <w:trPr>
          <w:trHeight w:val="225"/>
        </w:trPr>
        <w:tc>
          <w:tcPr>
            <w:tcW w:w="2064" w:type="pct"/>
            <w:vAlign w:val="center"/>
          </w:tcPr>
          <w:p w14:paraId="0FDA733D" w14:textId="77777777" w:rsidR="008E7B4A" w:rsidRPr="00B14ED8" w:rsidRDefault="008E7B4A" w:rsidP="00B14ED8">
            <w:pPr>
              <w:autoSpaceDE w:val="0"/>
              <w:autoSpaceDN w:val="0"/>
              <w:adjustRightInd w:val="0"/>
              <w:spacing w:after="0" w:line="360" w:lineRule="auto"/>
              <w:rPr>
                <w:rFonts w:ascii="Times New Roman" w:hAnsi="Times New Roman" w:cs="Times New Roman"/>
                <w:color w:val="000000"/>
                <w:sz w:val="20"/>
                <w:szCs w:val="20"/>
              </w:rPr>
            </w:pPr>
            <w:r w:rsidRPr="00B14ED8">
              <w:rPr>
                <w:rFonts w:ascii="Times New Roman" w:hAnsi="Times New Roman" w:cs="Times New Roman"/>
                <w:color w:val="000000"/>
                <w:sz w:val="20"/>
                <w:szCs w:val="20"/>
              </w:rPr>
              <w:t>MUDHARABAH*MANAJEMEN_RISIKO</w:t>
            </w:r>
          </w:p>
        </w:tc>
        <w:tc>
          <w:tcPr>
            <w:tcW w:w="717" w:type="pct"/>
            <w:vAlign w:val="center"/>
          </w:tcPr>
          <w:p w14:paraId="4A839951" w14:textId="77777777"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-1.002616</w:t>
            </w:r>
          </w:p>
        </w:tc>
        <w:tc>
          <w:tcPr>
            <w:tcW w:w="785" w:type="pct"/>
            <w:vAlign w:val="center"/>
          </w:tcPr>
          <w:p w14:paraId="359D8E12" w14:textId="77777777"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0.339017</w:t>
            </w:r>
          </w:p>
        </w:tc>
        <w:tc>
          <w:tcPr>
            <w:tcW w:w="786" w:type="pct"/>
            <w:vAlign w:val="center"/>
          </w:tcPr>
          <w:p w14:paraId="7860139D" w14:textId="77777777"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-2.957418</w:t>
            </w:r>
          </w:p>
        </w:tc>
        <w:tc>
          <w:tcPr>
            <w:tcW w:w="648" w:type="pct"/>
            <w:vAlign w:val="center"/>
          </w:tcPr>
          <w:p w14:paraId="18DD6E64" w14:textId="77777777"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0.0044</w:t>
            </w:r>
          </w:p>
        </w:tc>
      </w:tr>
      <w:tr w:rsidR="008E7B4A" w:rsidRPr="00B14ED8" w14:paraId="109DBD8E" w14:textId="77777777" w:rsidTr="008E7B4A">
        <w:trPr>
          <w:trHeight w:val="225"/>
        </w:trPr>
        <w:tc>
          <w:tcPr>
            <w:tcW w:w="2064" w:type="pct"/>
            <w:tcBorders>
              <w:bottom w:val="single" w:sz="4" w:space="0" w:color="auto"/>
            </w:tcBorders>
            <w:vAlign w:val="center"/>
          </w:tcPr>
          <w:p w14:paraId="2325D76C" w14:textId="77777777" w:rsidR="008E7B4A" w:rsidRPr="00B14ED8" w:rsidRDefault="008E7B4A" w:rsidP="00B14ED8">
            <w:pPr>
              <w:autoSpaceDE w:val="0"/>
              <w:autoSpaceDN w:val="0"/>
              <w:adjustRightInd w:val="0"/>
              <w:spacing w:after="0" w:line="360" w:lineRule="auto"/>
              <w:rPr>
                <w:rFonts w:ascii="Times New Roman" w:hAnsi="Times New Roman" w:cs="Times New Roman"/>
                <w:color w:val="000000"/>
                <w:sz w:val="20"/>
                <w:szCs w:val="20"/>
              </w:rPr>
            </w:pPr>
            <w:r w:rsidRPr="00B14ED8">
              <w:rPr>
                <w:rFonts w:ascii="Times New Roman" w:hAnsi="Times New Roman" w:cs="Times New Roman"/>
                <w:color w:val="000000"/>
                <w:sz w:val="20"/>
                <w:szCs w:val="20"/>
              </w:rPr>
              <w:t>MUSYARAKAH*MANAJEMEN_RISIKO</w:t>
            </w:r>
          </w:p>
        </w:tc>
        <w:tc>
          <w:tcPr>
            <w:tcW w:w="717" w:type="pct"/>
            <w:tcBorders>
              <w:bottom w:val="single" w:sz="4" w:space="0" w:color="auto"/>
            </w:tcBorders>
            <w:vAlign w:val="center"/>
          </w:tcPr>
          <w:p w14:paraId="7DC61516" w14:textId="77777777"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-1.682252</w:t>
            </w:r>
          </w:p>
        </w:tc>
        <w:tc>
          <w:tcPr>
            <w:tcW w:w="785" w:type="pct"/>
            <w:tcBorders>
              <w:bottom w:val="single" w:sz="4" w:space="0" w:color="auto"/>
            </w:tcBorders>
            <w:vAlign w:val="center"/>
          </w:tcPr>
          <w:p w14:paraId="3323EF72" w14:textId="77777777"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0.773135</w:t>
            </w:r>
          </w:p>
        </w:tc>
        <w:tc>
          <w:tcPr>
            <w:tcW w:w="786" w:type="pct"/>
            <w:tcBorders>
              <w:bottom w:val="single" w:sz="4" w:space="0" w:color="auto"/>
            </w:tcBorders>
            <w:vAlign w:val="center"/>
          </w:tcPr>
          <w:p w14:paraId="04A5A509" w14:textId="77777777"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-2.175885</w:t>
            </w:r>
          </w:p>
        </w:tc>
        <w:tc>
          <w:tcPr>
            <w:tcW w:w="648" w:type="pct"/>
            <w:tcBorders>
              <w:bottom w:val="single" w:sz="4" w:space="0" w:color="auto"/>
            </w:tcBorders>
            <w:vAlign w:val="center"/>
          </w:tcPr>
          <w:p w14:paraId="61B8FBB8" w14:textId="77777777" w:rsidR="008E7B4A" w:rsidRPr="00B14ED8" w:rsidRDefault="008E7B4A"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0.0335</w:t>
            </w:r>
          </w:p>
        </w:tc>
      </w:tr>
    </w:tbl>
    <w:p w14:paraId="24F878CB" w14:textId="6BDAB43E" w:rsidR="00CB1FAD" w:rsidRPr="00B14ED8" w:rsidRDefault="001A643F" w:rsidP="00033206">
      <w:pPr>
        <w:tabs>
          <w:tab w:val="left" w:pos="567"/>
        </w:tabs>
        <w:spacing w:after="0" w:line="360" w:lineRule="auto"/>
        <w:jc w:val="center"/>
        <w:rPr>
          <w:rFonts w:ascii="Times New Roman" w:eastAsia="Times New Roman" w:hAnsi="Times New Roman" w:cs="Times New Roman"/>
          <w:sz w:val="24"/>
          <w:szCs w:val="24"/>
        </w:rPr>
      </w:pPr>
      <w:proofErr w:type="spellStart"/>
      <w:r w:rsidRPr="00B14ED8">
        <w:rPr>
          <w:rFonts w:ascii="Times New Roman" w:eastAsia="Times New Roman" w:hAnsi="Times New Roman" w:cs="Times New Roman"/>
          <w:sz w:val="24"/>
          <w:szCs w:val="24"/>
        </w:rPr>
        <w:t>Sumber</w:t>
      </w:r>
      <w:proofErr w:type="spellEnd"/>
      <w:r w:rsidRPr="00B14ED8">
        <w:rPr>
          <w:rFonts w:ascii="Times New Roman" w:eastAsia="Times New Roman" w:hAnsi="Times New Roman" w:cs="Times New Roman"/>
          <w:sz w:val="24"/>
          <w:szCs w:val="24"/>
        </w:rPr>
        <w:t xml:space="preserve">: Data </w:t>
      </w:r>
      <w:proofErr w:type="spellStart"/>
      <w:r w:rsidRPr="00B14ED8">
        <w:rPr>
          <w:rFonts w:ascii="Times New Roman" w:eastAsia="Times New Roman" w:hAnsi="Times New Roman" w:cs="Times New Roman"/>
          <w:sz w:val="24"/>
          <w:szCs w:val="24"/>
        </w:rPr>
        <w:t>sekunder</w:t>
      </w:r>
      <w:proofErr w:type="spellEnd"/>
      <w:r w:rsidRPr="00B14ED8">
        <w:rPr>
          <w:rFonts w:ascii="Times New Roman" w:eastAsia="Times New Roman" w:hAnsi="Times New Roman" w:cs="Times New Roman"/>
          <w:sz w:val="24"/>
          <w:szCs w:val="24"/>
        </w:rPr>
        <w:t xml:space="preserve"> yang </w:t>
      </w:r>
      <w:proofErr w:type="spellStart"/>
      <w:r w:rsidRPr="00B14ED8">
        <w:rPr>
          <w:rFonts w:ascii="Times New Roman" w:eastAsia="Times New Roman" w:hAnsi="Times New Roman" w:cs="Times New Roman"/>
          <w:sz w:val="24"/>
          <w:szCs w:val="24"/>
        </w:rPr>
        <w:t>diolah</w:t>
      </w:r>
      <w:proofErr w:type="spellEnd"/>
      <w:r w:rsidRPr="00B14ED8">
        <w:rPr>
          <w:rFonts w:ascii="Times New Roman" w:eastAsia="Times New Roman" w:hAnsi="Times New Roman" w:cs="Times New Roman"/>
          <w:sz w:val="24"/>
          <w:szCs w:val="24"/>
        </w:rPr>
        <w:t>, 2024</w:t>
      </w:r>
    </w:p>
    <w:p w14:paraId="38C524A9" w14:textId="06215A12" w:rsidR="00AF133A" w:rsidRPr="00B14ED8" w:rsidRDefault="00A90295" w:rsidP="00B14ED8">
      <w:pPr>
        <w:tabs>
          <w:tab w:val="left" w:pos="567"/>
        </w:tabs>
        <w:spacing w:after="0" w:line="360" w:lineRule="auto"/>
        <w:ind w:firstLine="567"/>
        <w:jc w:val="both"/>
        <w:rPr>
          <w:rFonts w:ascii="Times New Roman" w:eastAsia="Times New Roman" w:hAnsi="Times New Roman" w:cs="Times New Roman"/>
          <w:sz w:val="24"/>
          <w:szCs w:val="24"/>
        </w:rPr>
      </w:pPr>
      <w:proofErr w:type="spellStart"/>
      <w:r w:rsidRPr="00B14ED8">
        <w:rPr>
          <w:rFonts w:ascii="Times New Roman" w:eastAsia="Times New Roman" w:hAnsi="Times New Roman" w:cs="Times New Roman"/>
          <w:sz w:val="24"/>
          <w:szCs w:val="24"/>
        </w:rPr>
        <w:t>Berdasarkan</w:t>
      </w:r>
      <w:proofErr w:type="spellEnd"/>
      <w:r w:rsidRPr="00B14ED8">
        <w:rPr>
          <w:rFonts w:ascii="Times New Roman" w:eastAsia="Times New Roman" w:hAnsi="Times New Roman" w:cs="Times New Roman"/>
          <w:sz w:val="24"/>
          <w:szCs w:val="24"/>
        </w:rPr>
        <w:t xml:space="preserve"> pada </w:t>
      </w:r>
      <w:proofErr w:type="spellStart"/>
      <w:r w:rsidRPr="00B14ED8">
        <w:rPr>
          <w:rFonts w:ascii="Times New Roman" w:eastAsia="Times New Roman" w:hAnsi="Times New Roman" w:cs="Times New Roman"/>
          <w:sz w:val="24"/>
          <w:szCs w:val="24"/>
        </w:rPr>
        <w:t>tabel</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hasil</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analisis</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regresi</w:t>
      </w:r>
      <w:proofErr w:type="spellEnd"/>
      <w:r w:rsidRPr="00B14ED8">
        <w:rPr>
          <w:rFonts w:ascii="Times New Roman" w:eastAsia="Times New Roman" w:hAnsi="Times New Roman" w:cs="Times New Roman"/>
          <w:sz w:val="24"/>
          <w:szCs w:val="24"/>
        </w:rPr>
        <w:t xml:space="preserve"> data panel </w:t>
      </w:r>
      <w:proofErr w:type="spellStart"/>
      <w:r w:rsidRPr="00B14ED8">
        <w:rPr>
          <w:rFonts w:ascii="Times New Roman" w:eastAsia="Times New Roman" w:hAnsi="Times New Roman" w:cs="Times New Roman"/>
          <w:sz w:val="24"/>
          <w:szCs w:val="24"/>
        </w:rPr>
        <w:t>tersebut</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diperoleh</w:t>
      </w:r>
      <w:proofErr w:type="spellEnd"/>
      <w:r w:rsidRPr="00B14ED8">
        <w:rPr>
          <w:rFonts w:ascii="Times New Roman" w:eastAsia="Times New Roman" w:hAnsi="Times New Roman" w:cs="Times New Roman"/>
          <w:sz w:val="24"/>
          <w:szCs w:val="24"/>
        </w:rPr>
        <w:t xml:space="preserve"> </w:t>
      </w:r>
      <w:proofErr w:type="spellStart"/>
      <w:r w:rsidR="00C701AF" w:rsidRPr="00B14ED8">
        <w:rPr>
          <w:rFonts w:ascii="Times New Roman" w:eastAsia="Times New Roman" w:hAnsi="Times New Roman" w:cs="Times New Roman"/>
          <w:sz w:val="24"/>
          <w:szCs w:val="24"/>
        </w:rPr>
        <w:t>hasil</w:t>
      </w:r>
      <w:proofErr w:type="spellEnd"/>
      <w:r w:rsidR="00C701AF" w:rsidRPr="00B14ED8">
        <w:rPr>
          <w:rFonts w:ascii="Times New Roman" w:eastAsia="Times New Roman" w:hAnsi="Times New Roman" w:cs="Times New Roman"/>
          <w:sz w:val="24"/>
          <w:szCs w:val="24"/>
        </w:rPr>
        <w:t xml:space="preserve"> </w:t>
      </w:r>
      <w:proofErr w:type="spellStart"/>
      <w:r w:rsidR="00C701AF" w:rsidRPr="00B14ED8">
        <w:rPr>
          <w:rFonts w:ascii="Times New Roman" w:eastAsia="Times New Roman" w:hAnsi="Times New Roman" w:cs="Times New Roman"/>
          <w:sz w:val="24"/>
          <w:szCs w:val="24"/>
        </w:rPr>
        <w:t>regresi</w:t>
      </w:r>
      <w:proofErr w:type="spellEnd"/>
      <w:r w:rsidR="00C701AF" w:rsidRPr="00B14ED8">
        <w:rPr>
          <w:rFonts w:ascii="Times New Roman" w:eastAsia="Times New Roman" w:hAnsi="Times New Roman" w:cs="Times New Roman"/>
          <w:sz w:val="24"/>
          <w:szCs w:val="24"/>
        </w:rPr>
        <w:t xml:space="preserve"> </w:t>
      </w:r>
      <w:proofErr w:type="spellStart"/>
      <w:r w:rsidR="00C701AF" w:rsidRPr="00B14ED8">
        <w:rPr>
          <w:rFonts w:ascii="Times New Roman" w:eastAsia="Times New Roman" w:hAnsi="Times New Roman" w:cs="Times New Roman"/>
          <w:sz w:val="24"/>
          <w:szCs w:val="24"/>
        </w:rPr>
        <w:t>sebagai</w:t>
      </w:r>
      <w:proofErr w:type="spellEnd"/>
      <w:r w:rsidR="00C701AF" w:rsidRPr="00B14ED8">
        <w:rPr>
          <w:rFonts w:ascii="Times New Roman" w:eastAsia="Times New Roman" w:hAnsi="Times New Roman" w:cs="Times New Roman"/>
          <w:sz w:val="24"/>
          <w:szCs w:val="24"/>
        </w:rPr>
        <w:t xml:space="preserve"> </w:t>
      </w:r>
      <w:proofErr w:type="spellStart"/>
      <w:r w:rsidR="00C701AF" w:rsidRPr="00B14ED8">
        <w:rPr>
          <w:rFonts w:ascii="Times New Roman" w:eastAsia="Times New Roman" w:hAnsi="Times New Roman" w:cs="Times New Roman"/>
          <w:sz w:val="24"/>
          <w:szCs w:val="24"/>
        </w:rPr>
        <w:t>berikut</w:t>
      </w:r>
      <w:proofErr w:type="spellEnd"/>
      <w:r w:rsidR="00C701AF" w:rsidRPr="00B14ED8">
        <w:rPr>
          <w:rFonts w:ascii="Times New Roman" w:eastAsia="Times New Roman" w:hAnsi="Times New Roman" w:cs="Times New Roman"/>
          <w:sz w:val="24"/>
          <w:szCs w:val="24"/>
        </w:rPr>
        <w:t>:</w:t>
      </w:r>
    </w:p>
    <w:p w14:paraId="75464197" w14:textId="36DA0C62" w:rsidR="00821E24" w:rsidRPr="00B14ED8" w:rsidRDefault="00BE221E" w:rsidP="00B14ED8">
      <w:pPr>
        <w:tabs>
          <w:tab w:val="left" w:pos="567"/>
        </w:tabs>
        <w:spacing w:after="0" w:line="360" w:lineRule="auto"/>
        <w:jc w:val="both"/>
        <w:rPr>
          <w:rFonts w:ascii="Times New Roman" w:eastAsia="Times New Roman" w:hAnsi="Times New Roman" w:cs="Times New Roman"/>
          <w:sz w:val="24"/>
          <w:szCs w:val="24"/>
        </w:rPr>
      </w:pPr>
      <w:r w:rsidRPr="00B14ED8">
        <w:rPr>
          <w:rFonts w:ascii="Times New Roman" w:eastAsia="Times New Roman" w:hAnsi="Times New Roman" w:cs="Times New Roman"/>
          <w:sz w:val="24"/>
          <w:szCs w:val="24"/>
        </w:rPr>
        <w:t xml:space="preserve">Y = </w:t>
      </w:r>
      <w:r w:rsidR="007B30D3" w:rsidRPr="00B14ED8">
        <w:rPr>
          <w:rFonts w:ascii="Times New Roman" w:eastAsia="Times New Roman" w:hAnsi="Times New Roman" w:cs="Times New Roman"/>
          <w:sz w:val="24"/>
          <w:szCs w:val="24"/>
        </w:rPr>
        <w:t xml:space="preserve">2,496 MDB + 4,073 MSY + 6,443 </w:t>
      </w:r>
      <w:r w:rsidR="00003F17" w:rsidRPr="00B14ED8">
        <w:rPr>
          <w:rFonts w:ascii="Times New Roman" w:eastAsia="Times New Roman" w:hAnsi="Times New Roman" w:cs="Times New Roman"/>
          <w:sz w:val="24"/>
          <w:szCs w:val="24"/>
        </w:rPr>
        <w:t>MRS – 1,002 MDB*MRS – 1,682 MSY*MRS</w:t>
      </w:r>
    </w:p>
    <w:p w14:paraId="30352C68" w14:textId="6ACBD5C6" w:rsidR="00821E24" w:rsidRPr="00B14ED8" w:rsidRDefault="00821E24" w:rsidP="00B14ED8">
      <w:pPr>
        <w:tabs>
          <w:tab w:val="left" w:pos="567"/>
        </w:tabs>
        <w:spacing w:after="0" w:line="360" w:lineRule="auto"/>
        <w:jc w:val="both"/>
        <w:rPr>
          <w:rFonts w:ascii="Times New Roman" w:eastAsia="Times New Roman" w:hAnsi="Times New Roman" w:cs="Times New Roman"/>
          <w:sz w:val="24"/>
          <w:szCs w:val="24"/>
        </w:rPr>
      </w:pPr>
      <w:proofErr w:type="spellStart"/>
      <w:r w:rsidRPr="00B14ED8">
        <w:rPr>
          <w:rFonts w:ascii="Times New Roman" w:eastAsia="Times New Roman" w:hAnsi="Times New Roman" w:cs="Times New Roman"/>
          <w:sz w:val="24"/>
          <w:szCs w:val="24"/>
        </w:rPr>
        <w:t>Keterangan</w:t>
      </w:r>
      <w:proofErr w:type="spellEnd"/>
      <w:r w:rsidRPr="00B14ED8">
        <w:rPr>
          <w:rFonts w:ascii="Times New Roman" w:eastAsia="Times New Roman" w:hAnsi="Times New Roman" w:cs="Times New Roman"/>
          <w:sz w:val="24"/>
          <w:szCs w:val="24"/>
        </w:rPr>
        <w:t>:</w:t>
      </w:r>
    </w:p>
    <w:p w14:paraId="53BFD1F1" w14:textId="1F67160C" w:rsidR="00B37A09" w:rsidRPr="00B14ED8" w:rsidRDefault="00583E5F" w:rsidP="00B14ED8">
      <w:pPr>
        <w:pStyle w:val="ListParagraph"/>
        <w:numPr>
          <w:ilvl w:val="0"/>
          <w:numId w:val="14"/>
        </w:numPr>
        <w:spacing w:after="0" w:line="360" w:lineRule="auto"/>
        <w:ind w:left="567" w:hanging="567"/>
        <w:jc w:val="both"/>
        <w:rPr>
          <w:rFonts w:ascii="Times New Roman" w:eastAsia="Times New Roman" w:hAnsi="Times New Roman" w:cs="Times New Roman"/>
          <w:sz w:val="24"/>
          <w:szCs w:val="24"/>
        </w:rPr>
      </w:pPr>
      <w:r w:rsidRPr="00B14ED8">
        <w:rPr>
          <w:rFonts w:ascii="Times New Roman" w:eastAsia="Times New Roman" w:hAnsi="Times New Roman" w:cs="Times New Roman"/>
          <w:sz w:val="24"/>
          <w:szCs w:val="24"/>
        </w:rPr>
        <w:t xml:space="preserve">Nilai </w:t>
      </w:r>
      <w:proofErr w:type="spellStart"/>
      <w:r w:rsidRPr="00B14ED8">
        <w:rPr>
          <w:rFonts w:ascii="Times New Roman" w:eastAsia="Times New Roman" w:hAnsi="Times New Roman" w:cs="Times New Roman"/>
          <w:sz w:val="24"/>
          <w:szCs w:val="24"/>
        </w:rPr>
        <w:t>koefisien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pembiayaan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i/>
          <w:iCs/>
          <w:sz w:val="24"/>
          <w:szCs w:val="24"/>
        </w:rPr>
        <w:t>mudharabah</w:t>
      </w:r>
      <w:proofErr w:type="spellEnd"/>
      <w:r w:rsidRPr="00B14ED8">
        <w:rPr>
          <w:rFonts w:ascii="Times New Roman" w:eastAsia="Times New Roman" w:hAnsi="Times New Roman" w:cs="Times New Roman"/>
          <w:i/>
          <w:iCs/>
          <w:sz w:val="24"/>
          <w:szCs w:val="24"/>
        </w:rPr>
        <w:t xml:space="preserve"> </w:t>
      </w:r>
      <w:r w:rsidRPr="00B14ED8">
        <w:rPr>
          <w:rFonts w:ascii="Times New Roman" w:eastAsia="Times New Roman" w:hAnsi="Times New Roman" w:cs="Times New Roman"/>
          <w:sz w:val="24"/>
          <w:szCs w:val="24"/>
        </w:rPr>
        <w:t xml:space="preserve">(MDB) </w:t>
      </w:r>
      <w:proofErr w:type="spellStart"/>
      <w:r w:rsidRPr="00B14ED8">
        <w:rPr>
          <w:rFonts w:ascii="Times New Roman" w:eastAsia="Times New Roman" w:hAnsi="Times New Roman" w:cs="Times New Roman"/>
          <w:sz w:val="24"/>
          <w:szCs w:val="24"/>
        </w:rPr>
        <w:t>diperoleh</w:t>
      </w:r>
      <w:proofErr w:type="spellEnd"/>
      <w:r w:rsidRPr="00B14ED8">
        <w:rPr>
          <w:rFonts w:ascii="Times New Roman" w:eastAsia="Times New Roman" w:hAnsi="Times New Roman" w:cs="Times New Roman"/>
          <w:sz w:val="24"/>
          <w:szCs w:val="24"/>
        </w:rPr>
        <w:t xml:space="preserve"> </w:t>
      </w:r>
      <w:proofErr w:type="spellStart"/>
      <w:r w:rsidR="007A5997" w:rsidRPr="00B14ED8">
        <w:rPr>
          <w:rFonts w:ascii="Times New Roman" w:eastAsia="Times New Roman" w:hAnsi="Times New Roman" w:cs="Times New Roman"/>
          <w:sz w:val="24"/>
          <w:szCs w:val="24"/>
        </w:rPr>
        <w:t>sebesar</w:t>
      </w:r>
      <w:proofErr w:type="spellEnd"/>
      <w:r w:rsidR="007A5997" w:rsidRPr="00B14ED8">
        <w:rPr>
          <w:rFonts w:ascii="Times New Roman" w:eastAsia="Times New Roman" w:hAnsi="Times New Roman" w:cs="Times New Roman"/>
          <w:sz w:val="24"/>
          <w:szCs w:val="24"/>
        </w:rPr>
        <w:t xml:space="preserve"> </w:t>
      </w:r>
      <w:r w:rsidR="00A56673" w:rsidRPr="00B14ED8">
        <w:rPr>
          <w:rFonts w:ascii="Times New Roman" w:eastAsia="Times New Roman" w:hAnsi="Times New Roman" w:cs="Times New Roman"/>
          <w:sz w:val="24"/>
          <w:szCs w:val="24"/>
        </w:rPr>
        <w:t>2,496</w:t>
      </w:r>
      <w:r w:rsidR="0006796A" w:rsidRPr="00B14ED8">
        <w:rPr>
          <w:rFonts w:ascii="Times New Roman" w:eastAsia="Times New Roman" w:hAnsi="Times New Roman" w:cs="Times New Roman"/>
          <w:sz w:val="24"/>
          <w:szCs w:val="24"/>
        </w:rPr>
        <w:t xml:space="preserve"> </w:t>
      </w:r>
      <w:proofErr w:type="spellStart"/>
      <w:r w:rsidR="0006796A" w:rsidRPr="00B14ED8">
        <w:rPr>
          <w:rFonts w:ascii="Times New Roman" w:eastAsia="Times New Roman" w:hAnsi="Times New Roman" w:cs="Times New Roman"/>
          <w:sz w:val="24"/>
          <w:szCs w:val="24"/>
        </w:rPr>
        <w:t>dengan</w:t>
      </w:r>
      <w:proofErr w:type="spellEnd"/>
      <w:r w:rsidR="0006796A" w:rsidRPr="00B14ED8">
        <w:rPr>
          <w:rFonts w:ascii="Times New Roman" w:eastAsia="Times New Roman" w:hAnsi="Times New Roman" w:cs="Times New Roman"/>
          <w:sz w:val="24"/>
          <w:szCs w:val="24"/>
        </w:rPr>
        <w:t xml:space="preserve"> </w:t>
      </w:r>
      <w:proofErr w:type="spellStart"/>
      <w:r w:rsidR="0006796A" w:rsidRPr="00B14ED8">
        <w:rPr>
          <w:rFonts w:ascii="Times New Roman" w:eastAsia="Times New Roman" w:hAnsi="Times New Roman" w:cs="Times New Roman"/>
          <w:sz w:val="24"/>
          <w:szCs w:val="24"/>
        </w:rPr>
        <w:t>arah</w:t>
      </w:r>
      <w:proofErr w:type="spellEnd"/>
      <w:r w:rsidR="0006796A" w:rsidRPr="00B14ED8">
        <w:rPr>
          <w:rFonts w:ascii="Times New Roman" w:eastAsia="Times New Roman" w:hAnsi="Times New Roman" w:cs="Times New Roman"/>
          <w:sz w:val="24"/>
          <w:szCs w:val="24"/>
        </w:rPr>
        <w:t xml:space="preserve"> </w:t>
      </w:r>
      <w:proofErr w:type="spellStart"/>
      <w:r w:rsidR="0006796A" w:rsidRPr="00B14ED8">
        <w:rPr>
          <w:rFonts w:ascii="Times New Roman" w:eastAsia="Times New Roman" w:hAnsi="Times New Roman" w:cs="Times New Roman"/>
          <w:sz w:val="24"/>
          <w:szCs w:val="24"/>
        </w:rPr>
        <w:t>pengaruh</w:t>
      </w:r>
      <w:proofErr w:type="spellEnd"/>
      <w:r w:rsidR="0006796A" w:rsidRPr="00B14ED8">
        <w:rPr>
          <w:rFonts w:ascii="Times New Roman" w:eastAsia="Times New Roman" w:hAnsi="Times New Roman" w:cs="Times New Roman"/>
          <w:sz w:val="24"/>
          <w:szCs w:val="24"/>
        </w:rPr>
        <w:t xml:space="preserve"> </w:t>
      </w:r>
      <w:proofErr w:type="spellStart"/>
      <w:r w:rsidR="0006796A" w:rsidRPr="00B14ED8">
        <w:rPr>
          <w:rFonts w:ascii="Times New Roman" w:eastAsia="Times New Roman" w:hAnsi="Times New Roman" w:cs="Times New Roman"/>
          <w:sz w:val="24"/>
          <w:szCs w:val="24"/>
        </w:rPr>
        <w:t>positif</w:t>
      </w:r>
      <w:proofErr w:type="spellEnd"/>
      <w:r w:rsidR="0006796A" w:rsidRPr="00B14ED8">
        <w:rPr>
          <w:rFonts w:ascii="Times New Roman" w:eastAsia="Times New Roman" w:hAnsi="Times New Roman" w:cs="Times New Roman"/>
          <w:sz w:val="24"/>
          <w:szCs w:val="24"/>
        </w:rPr>
        <w:t xml:space="preserve">. </w:t>
      </w:r>
      <w:proofErr w:type="spellStart"/>
      <w:r w:rsidR="0006796A" w:rsidRPr="00B14ED8">
        <w:rPr>
          <w:rFonts w:ascii="Times New Roman" w:eastAsia="Times New Roman" w:hAnsi="Times New Roman" w:cs="Times New Roman"/>
          <w:sz w:val="24"/>
          <w:szCs w:val="24"/>
        </w:rPr>
        <w:t>Artinya</w:t>
      </w:r>
      <w:proofErr w:type="spellEnd"/>
      <w:r w:rsidR="0006796A" w:rsidRPr="00B14ED8">
        <w:rPr>
          <w:rFonts w:ascii="Times New Roman" w:eastAsia="Times New Roman" w:hAnsi="Times New Roman" w:cs="Times New Roman"/>
          <w:sz w:val="24"/>
          <w:szCs w:val="24"/>
        </w:rPr>
        <w:t xml:space="preserve"> </w:t>
      </w:r>
      <w:proofErr w:type="spellStart"/>
      <w:r w:rsidR="008F6461" w:rsidRPr="00B14ED8">
        <w:rPr>
          <w:rFonts w:ascii="Times New Roman" w:eastAsia="Times New Roman" w:hAnsi="Times New Roman" w:cs="Times New Roman"/>
          <w:sz w:val="24"/>
          <w:szCs w:val="24"/>
        </w:rPr>
        <w:t>dengan</w:t>
      </w:r>
      <w:proofErr w:type="spellEnd"/>
      <w:r w:rsidR="008F6461" w:rsidRPr="00B14ED8">
        <w:rPr>
          <w:rFonts w:ascii="Times New Roman" w:eastAsia="Times New Roman" w:hAnsi="Times New Roman" w:cs="Times New Roman"/>
          <w:sz w:val="24"/>
          <w:szCs w:val="24"/>
        </w:rPr>
        <w:t xml:space="preserve"> </w:t>
      </w:r>
      <w:proofErr w:type="spellStart"/>
      <w:r w:rsidR="008F6461" w:rsidRPr="00B14ED8">
        <w:rPr>
          <w:rFonts w:ascii="Times New Roman" w:eastAsia="Times New Roman" w:hAnsi="Times New Roman" w:cs="Times New Roman"/>
          <w:sz w:val="24"/>
          <w:szCs w:val="24"/>
        </w:rPr>
        <w:t>semakin</w:t>
      </w:r>
      <w:proofErr w:type="spellEnd"/>
      <w:r w:rsidR="008F6461" w:rsidRPr="00B14ED8">
        <w:rPr>
          <w:rFonts w:ascii="Times New Roman" w:eastAsia="Times New Roman" w:hAnsi="Times New Roman" w:cs="Times New Roman"/>
          <w:sz w:val="24"/>
          <w:szCs w:val="24"/>
        </w:rPr>
        <w:t xml:space="preserve"> </w:t>
      </w:r>
      <w:proofErr w:type="spellStart"/>
      <w:r w:rsidR="008F6461" w:rsidRPr="00B14ED8">
        <w:rPr>
          <w:rFonts w:ascii="Times New Roman" w:eastAsia="Times New Roman" w:hAnsi="Times New Roman" w:cs="Times New Roman"/>
          <w:sz w:val="24"/>
          <w:szCs w:val="24"/>
        </w:rPr>
        <w:t>tinggi</w:t>
      </w:r>
      <w:r w:rsidR="001D7984" w:rsidRPr="00B14ED8">
        <w:rPr>
          <w:rFonts w:ascii="Times New Roman" w:eastAsia="Times New Roman" w:hAnsi="Times New Roman" w:cs="Times New Roman"/>
          <w:sz w:val="24"/>
          <w:szCs w:val="24"/>
        </w:rPr>
        <w:t>nya</w:t>
      </w:r>
      <w:proofErr w:type="spellEnd"/>
      <w:r w:rsidR="001D7984" w:rsidRPr="00B14ED8">
        <w:rPr>
          <w:rFonts w:ascii="Times New Roman" w:eastAsia="Times New Roman" w:hAnsi="Times New Roman" w:cs="Times New Roman"/>
          <w:sz w:val="24"/>
          <w:szCs w:val="24"/>
        </w:rPr>
        <w:t xml:space="preserve"> </w:t>
      </w:r>
      <w:proofErr w:type="spellStart"/>
      <w:r w:rsidR="001D7984" w:rsidRPr="00B14ED8">
        <w:rPr>
          <w:rFonts w:ascii="Times New Roman" w:eastAsia="Times New Roman" w:hAnsi="Times New Roman" w:cs="Times New Roman"/>
          <w:sz w:val="24"/>
          <w:szCs w:val="24"/>
        </w:rPr>
        <w:t>nilai</w:t>
      </w:r>
      <w:proofErr w:type="spellEnd"/>
      <w:r w:rsidR="001D7984" w:rsidRPr="00B14ED8">
        <w:rPr>
          <w:rFonts w:ascii="Times New Roman" w:eastAsia="Times New Roman" w:hAnsi="Times New Roman" w:cs="Times New Roman"/>
          <w:sz w:val="24"/>
          <w:szCs w:val="24"/>
        </w:rPr>
        <w:t xml:space="preserve"> </w:t>
      </w:r>
      <w:proofErr w:type="spellStart"/>
      <w:r w:rsidR="00CA2AF1" w:rsidRPr="00B14ED8">
        <w:rPr>
          <w:rFonts w:ascii="Times New Roman" w:eastAsia="Times New Roman" w:hAnsi="Times New Roman" w:cs="Times New Roman"/>
          <w:sz w:val="24"/>
          <w:szCs w:val="24"/>
        </w:rPr>
        <w:t>pembiayaan</w:t>
      </w:r>
      <w:proofErr w:type="spellEnd"/>
      <w:r w:rsidR="00CA2AF1" w:rsidRPr="00B14ED8">
        <w:rPr>
          <w:rFonts w:ascii="Times New Roman" w:eastAsia="Times New Roman" w:hAnsi="Times New Roman" w:cs="Times New Roman"/>
          <w:sz w:val="24"/>
          <w:szCs w:val="24"/>
        </w:rPr>
        <w:t xml:space="preserve"> </w:t>
      </w:r>
      <w:proofErr w:type="spellStart"/>
      <w:r w:rsidR="00CA2AF1" w:rsidRPr="00B14ED8">
        <w:rPr>
          <w:rFonts w:ascii="Times New Roman" w:eastAsia="Times New Roman" w:hAnsi="Times New Roman" w:cs="Times New Roman"/>
          <w:i/>
          <w:iCs/>
          <w:sz w:val="24"/>
          <w:szCs w:val="24"/>
        </w:rPr>
        <w:t>mudharabah</w:t>
      </w:r>
      <w:proofErr w:type="spellEnd"/>
      <w:r w:rsidR="007671EE" w:rsidRPr="00B14ED8">
        <w:rPr>
          <w:rFonts w:ascii="Times New Roman" w:eastAsia="Times New Roman" w:hAnsi="Times New Roman" w:cs="Times New Roman"/>
          <w:i/>
          <w:iCs/>
          <w:sz w:val="24"/>
          <w:szCs w:val="24"/>
        </w:rPr>
        <w:t xml:space="preserve"> </w:t>
      </w:r>
      <w:proofErr w:type="spellStart"/>
      <w:r w:rsidR="00CA2AF1" w:rsidRPr="00B14ED8">
        <w:rPr>
          <w:rFonts w:ascii="Times New Roman" w:eastAsia="Times New Roman" w:hAnsi="Times New Roman" w:cs="Times New Roman"/>
          <w:sz w:val="24"/>
          <w:szCs w:val="24"/>
        </w:rPr>
        <w:t>akan</w:t>
      </w:r>
      <w:proofErr w:type="spellEnd"/>
      <w:r w:rsidR="00CA2AF1" w:rsidRPr="00B14ED8">
        <w:rPr>
          <w:rFonts w:ascii="Times New Roman" w:eastAsia="Times New Roman" w:hAnsi="Times New Roman" w:cs="Times New Roman"/>
          <w:sz w:val="24"/>
          <w:szCs w:val="24"/>
        </w:rPr>
        <w:t xml:space="preserve"> </w:t>
      </w:r>
      <w:proofErr w:type="spellStart"/>
      <w:r w:rsidR="00CA2AF1" w:rsidRPr="00B14ED8">
        <w:rPr>
          <w:rFonts w:ascii="Times New Roman" w:eastAsia="Times New Roman" w:hAnsi="Times New Roman" w:cs="Times New Roman"/>
          <w:sz w:val="24"/>
          <w:szCs w:val="24"/>
        </w:rPr>
        <w:t>semakin</w:t>
      </w:r>
      <w:proofErr w:type="spellEnd"/>
      <w:r w:rsidR="00CA2AF1" w:rsidRPr="00B14ED8">
        <w:rPr>
          <w:rFonts w:ascii="Times New Roman" w:eastAsia="Times New Roman" w:hAnsi="Times New Roman" w:cs="Times New Roman"/>
          <w:sz w:val="24"/>
          <w:szCs w:val="24"/>
        </w:rPr>
        <w:t xml:space="preserve"> </w:t>
      </w:r>
      <w:proofErr w:type="spellStart"/>
      <w:r w:rsidR="00CA2AF1" w:rsidRPr="00B14ED8">
        <w:rPr>
          <w:rFonts w:ascii="Times New Roman" w:eastAsia="Times New Roman" w:hAnsi="Times New Roman" w:cs="Times New Roman"/>
          <w:sz w:val="24"/>
          <w:szCs w:val="24"/>
        </w:rPr>
        <w:t>meningkatkan</w:t>
      </w:r>
      <w:proofErr w:type="spellEnd"/>
      <w:r w:rsidR="00CA2AF1" w:rsidRPr="00B14ED8">
        <w:rPr>
          <w:rFonts w:ascii="Times New Roman" w:eastAsia="Times New Roman" w:hAnsi="Times New Roman" w:cs="Times New Roman"/>
          <w:sz w:val="24"/>
          <w:szCs w:val="24"/>
        </w:rPr>
        <w:t xml:space="preserve"> </w:t>
      </w:r>
      <w:proofErr w:type="spellStart"/>
      <w:r w:rsidR="00CA2AF1" w:rsidRPr="00B14ED8">
        <w:rPr>
          <w:rFonts w:ascii="Times New Roman" w:eastAsia="Times New Roman" w:hAnsi="Times New Roman" w:cs="Times New Roman"/>
          <w:sz w:val="24"/>
          <w:szCs w:val="24"/>
        </w:rPr>
        <w:t>nilai</w:t>
      </w:r>
      <w:proofErr w:type="spellEnd"/>
      <w:r w:rsidR="00CA2AF1" w:rsidRPr="00B14ED8">
        <w:rPr>
          <w:rFonts w:ascii="Times New Roman" w:eastAsia="Times New Roman" w:hAnsi="Times New Roman" w:cs="Times New Roman"/>
          <w:sz w:val="24"/>
          <w:szCs w:val="24"/>
        </w:rPr>
        <w:t xml:space="preserve"> </w:t>
      </w:r>
      <w:proofErr w:type="spellStart"/>
      <w:r w:rsidR="00CA2AF1" w:rsidRPr="00B14ED8">
        <w:rPr>
          <w:rFonts w:ascii="Times New Roman" w:eastAsia="Times New Roman" w:hAnsi="Times New Roman" w:cs="Times New Roman"/>
          <w:sz w:val="24"/>
          <w:szCs w:val="24"/>
        </w:rPr>
        <w:t>kinerja</w:t>
      </w:r>
      <w:proofErr w:type="spellEnd"/>
      <w:r w:rsidR="00CA2AF1" w:rsidRPr="00B14ED8">
        <w:rPr>
          <w:rFonts w:ascii="Times New Roman" w:eastAsia="Times New Roman" w:hAnsi="Times New Roman" w:cs="Times New Roman"/>
          <w:sz w:val="24"/>
          <w:szCs w:val="24"/>
        </w:rPr>
        <w:t xml:space="preserve"> </w:t>
      </w:r>
      <w:proofErr w:type="spellStart"/>
      <w:r w:rsidR="00CA2AF1" w:rsidRPr="00B14ED8">
        <w:rPr>
          <w:rFonts w:ascii="Times New Roman" w:eastAsia="Times New Roman" w:hAnsi="Times New Roman" w:cs="Times New Roman"/>
          <w:sz w:val="24"/>
          <w:szCs w:val="24"/>
        </w:rPr>
        <w:t>keuangan</w:t>
      </w:r>
      <w:proofErr w:type="spellEnd"/>
      <w:r w:rsidR="00940D99" w:rsidRPr="00B14ED8">
        <w:rPr>
          <w:rFonts w:ascii="Times New Roman" w:eastAsia="Times New Roman" w:hAnsi="Times New Roman" w:cs="Times New Roman"/>
          <w:sz w:val="24"/>
          <w:szCs w:val="24"/>
        </w:rPr>
        <w:t xml:space="preserve"> </w:t>
      </w:r>
      <w:proofErr w:type="spellStart"/>
      <w:r w:rsidR="00940D99" w:rsidRPr="00B14ED8">
        <w:rPr>
          <w:rFonts w:ascii="Times New Roman" w:eastAsia="Times New Roman" w:hAnsi="Times New Roman" w:cs="Times New Roman"/>
          <w:sz w:val="24"/>
          <w:szCs w:val="24"/>
        </w:rPr>
        <w:t>demikian</w:t>
      </w:r>
      <w:proofErr w:type="spellEnd"/>
      <w:r w:rsidR="00940D99" w:rsidRPr="00B14ED8">
        <w:rPr>
          <w:rFonts w:ascii="Times New Roman" w:eastAsia="Times New Roman" w:hAnsi="Times New Roman" w:cs="Times New Roman"/>
          <w:sz w:val="24"/>
          <w:szCs w:val="24"/>
        </w:rPr>
        <w:t xml:space="preserve"> pun </w:t>
      </w:r>
      <w:proofErr w:type="spellStart"/>
      <w:r w:rsidR="00940D99" w:rsidRPr="00B14ED8">
        <w:rPr>
          <w:rFonts w:ascii="Times New Roman" w:eastAsia="Times New Roman" w:hAnsi="Times New Roman" w:cs="Times New Roman"/>
          <w:sz w:val="24"/>
          <w:szCs w:val="24"/>
        </w:rPr>
        <w:t>sebaliknya</w:t>
      </w:r>
      <w:proofErr w:type="spellEnd"/>
      <w:r w:rsidR="00940D99" w:rsidRPr="00B14ED8">
        <w:rPr>
          <w:rFonts w:ascii="Times New Roman" w:eastAsia="Times New Roman" w:hAnsi="Times New Roman" w:cs="Times New Roman"/>
          <w:sz w:val="24"/>
          <w:szCs w:val="24"/>
        </w:rPr>
        <w:t xml:space="preserve"> </w:t>
      </w:r>
      <w:proofErr w:type="spellStart"/>
      <w:r w:rsidR="00940D99" w:rsidRPr="00B14ED8">
        <w:rPr>
          <w:rFonts w:ascii="Times New Roman" w:eastAsia="Times New Roman" w:hAnsi="Times New Roman" w:cs="Times New Roman"/>
          <w:sz w:val="24"/>
          <w:szCs w:val="24"/>
        </w:rPr>
        <w:t>semakin</w:t>
      </w:r>
      <w:proofErr w:type="spellEnd"/>
      <w:r w:rsidR="00940D99" w:rsidRPr="00B14ED8">
        <w:rPr>
          <w:rFonts w:ascii="Times New Roman" w:eastAsia="Times New Roman" w:hAnsi="Times New Roman" w:cs="Times New Roman"/>
          <w:sz w:val="24"/>
          <w:szCs w:val="24"/>
        </w:rPr>
        <w:t xml:space="preserve"> </w:t>
      </w:r>
      <w:proofErr w:type="spellStart"/>
      <w:r w:rsidR="00940D99" w:rsidRPr="00B14ED8">
        <w:rPr>
          <w:rFonts w:ascii="Times New Roman" w:eastAsia="Times New Roman" w:hAnsi="Times New Roman" w:cs="Times New Roman"/>
          <w:sz w:val="24"/>
          <w:szCs w:val="24"/>
        </w:rPr>
        <w:t>rendah</w:t>
      </w:r>
      <w:proofErr w:type="spellEnd"/>
      <w:r w:rsidR="00940D99" w:rsidRPr="00B14ED8">
        <w:rPr>
          <w:rFonts w:ascii="Times New Roman" w:eastAsia="Times New Roman" w:hAnsi="Times New Roman" w:cs="Times New Roman"/>
          <w:sz w:val="24"/>
          <w:szCs w:val="24"/>
        </w:rPr>
        <w:t xml:space="preserve"> </w:t>
      </w:r>
      <w:proofErr w:type="spellStart"/>
      <w:r w:rsidR="00940D99" w:rsidRPr="00B14ED8">
        <w:rPr>
          <w:rFonts w:ascii="Times New Roman" w:eastAsia="Times New Roman" w:hAnsi="Times New Roman" w:cs="Times New Roman"/>
          <w:sz w:val="24"/>
          <w:szCs w:val="24"/>
        </w:rPr>
        <w:t>nilai</w:t>
      </w:r>
      <w:proofErr w:type="spellEnd"/>
      <w:r w:rsidR="00940D99" w:rsidRPr="00B14ED8">
        <w:rPr>
          <w:rFonts w:ascii="Times New Roman" w:eastAsia="Times New Roman" w:hAnsi="Times New Roman" w:cs="Times New Roman"/>
          <w:sz w:val="24"/>
          <w:szCs w:val="24"/>
        </w:rPr>
        <w:t xml:space="preserve"> </w:t>
      </w:r>
      <w:proofErr w:type="spellStart"/>
      <w:r w:rsidR="00940D99" w:rsidRPr="00B14ED8">
        <w:rPr>
          <w:rFonts w:ascii="Times New Roman" w:eastAsia="Times New Roman" w:hAnsi="Times New Roman" w:cs="Times New Roman"/>
          <w:sz w:val="24"/>
          <w:szCs w:val="24"/>
        </w:rPr>
        <w:t>pembiayaan</w:t>
      </w:r>
      <w:proofErr w:type="spellEnd"/>
      <w:r w:rsidR="00940D99" w:rsidRPr="00B14ED8">
        <w:rPr>
          <w:rFonts w:ascii="Times New Roman" w:eastAsia="Times New Roman" w:hAnsi="Times New Roman" w:cs="Times New Roman"/>
          <w:sz w:val="24"/>
          <w:szCs w:val="24"/>
        </w:rPr>
        <w:t xml:space="preserve"> </w:t>
      </w:r>
      <w:proofErr w:type="spellStart"/>
      <w:r w:rsidR="00940D99" w:rsidRPr="00B14ED8">
        <w:rPr>
          <w:rFonts w:ascii="Times New Roman" w:eastAsia="Times New Roman" w:hAnsi="Times New Roman" w:cs="Times New Roman"/>
          <w:i/>
          <w:iCs/>
          <w:sz w:val="24"/>
          <w:szCs w:val="24"/>
        </w:rPr>
        <w:t>mudharabah</w:t>
      </w:r>
      <w:proofErr w:type="spellEnd"/>
      <w:r w:rsidR="00940D99" w:rsidRPr="00B14ED8">
        <w:rPr>
          <w:rFonts w:ascii="Times New Roman" w:eastAsia="Times New Roman" w:hAnsi="Times New Roman" w:cs="Times New Roman"/>
          <w:i/>
          <w:iCs/>
          <w:sz w:val="24"/>
          <w:szCs w:val="24"/>
        </w:rPr>
        <w:t xml:space="preserve"> </w:t>
      </w:r>
      <w:proofErr w:type="spellStart"/>
      <w:r w:rsidR="00940D99" w:rsidRPr="00B14ED8">
        <w:rPr>
          <w:rFonts w:ascii="Times New Roman" w:eastAsia="Times New Roman" w:hAnsi="Times New Roman" w:cs="Times New Roman"/>
          <w:sz w:val="24"/>
          <w:szCs w:val="24"/>
        </w:rPr>
        <w:t>akan</w:t>
      </w:r>
      <w:proofErr w:type="spellEnd"/>
      <w:r w:rsidR="00940D99" w:rsidRPr="00B14ED8">
        <w:rPr>
          <w:rFonts w:ascii="Times New Roman" w:eastAsia="Times New Roman" w:hAnsi="Times New Roman" w:cs="Times New Roman"/>
          <w:sz w:val="24"/>
          <w:szCs w:val="24"/>
        </w:rPr>
        <w:t xml:space="preserve"> </w:t>
      </w:r>
      <w:proofErr w:type="spellStart"/>
      <w:r w:rsidR="00940D99" w:rsidRPr="00B14ED8">
        <w:rPr>
          <w:rFonts w:ascii="Times New Roman" w:eastAsia="Times New Roman" w:hAnsi="Times New Roman" w:cs="Times New Roman"/>
          <w:sz w:val="24"/>
          <w:szCs w:val="24"/>
        </w:rPr>
        <w:t>semakin</w:t>
      </w:r>
      <w:proofErr w:type="spellEnd"/>
      <w:r w:rsidR="00940D99" w:rsidRPr="00B14ED8">
        <w:rPr>
          <w:rFonts w:ascii="Times New Roman" w:eastAsia="Times New Roman" w:hAnsi="Times New Roman" w:cs="Times New Roman"/>
          <w:sz w:val="24"/>
          <w:szCs w:val="24"/>
        </w:rPr>
        <w:t xml:space="preserve"> </w:t>
      </w:r>
      <w:proofErr w:type="spellStart"/>
      <w:r w:rsidR="00940D99" w:rsidRPr="00B14ED8">
        <w:rPr>
          <w:rFonts w:ascii="Times New Roman" w:eastAsia="Times New Roman" w:hAnsi="Times New Roman" w:cs="Times New Roman"/>
          <w:sz w:val="24"/>
          <w:szCs w:val="24"/>
        </w:rPr>
        <w:t>menurunkan</w:t>
      </w:r>
      <w:proofErr w:type="spellEnd"/>
      <w:r w:rsidR="00940D99" w:rsidRPr="00B14ED8">
        <w:rPr>
          <w:rFonts w:ascii="Times New Roman" w:eastAsia="Times New Roman" w:hAnsi="Times New Roman" w:cs="Times New Roman"/>
          <w:sz w:val="24"/>
          <w:szCs w:val="24"/>
        </w:rPr>
        <w:t xml:space="preserve"> </w:t>
      </w:r>
      <w:proofErr w:type="spellStart"/>
      <w:r w:rsidR="00940D99" w:rsidRPr="00B14ED8">
        <w:rPr>
          <w:rFonts w:ascii="Times New Roman" w:eastAsia="Times New Roman" w:hAnsi="Times New Roman" w:cs="Times New Roman"/>
          <w:sz w:val="24"/>
          <w:szCs w:val="24"/>
        </w:rPr>
        <w:t>nilai</w:t>
      </w:r>
      <w:proofErr w:type="spellEnd"/>
      <w:r w:rsidR="00940D99" w:rsidRPr="00B14ED8">
        <w:rPr>
          <w:rFonts w:ascii="Times New Roman" w:eastAsia="Times New Roman" w:hAnsi="Times New Roman" w:cs="Times New Roman"/>
          <w:sz w:val="24"/>
          <w:szCs w:val="24"/>
        </w:rPr>
        <w:t xml:space="preserve"> </w:t>
      </w:r>
      <w:proofErr w:type="spellStart"/>
      <w:r w:rsidR="00940D99" w:rsidRPr="00B14ED8">
        <w:rPr>
          <w:rFonts w:ascii="Times New Roman" w:eastAsia="Times New Roman" w:hAnsi="Times New Roman" w:cs="Times New Roman"/>
          <w:sz w:val="24"/>
          <w:szCs w:val="24"/>
        </w:rPr>
        <w:t>kinerja</w:t>
      </w:r>
      <w:proofErr w:type="spellEnd"/>
      <w:r w:rsidR="00940D99" w:rsidRPr="00B14ED8">
        <w:rPr>
          <w:rFonts w:ascii="Times New Roman" w:eastAsia="Times New Roman" w:hAnsi="Times New Roman" w:cs="Times New Roman"/>
          <w:sz w:val="24"/>
          <w:szCs w:val="24"/>
        </w:rPr>
        <w:t xml:space="preserve"> </w:t>
      </w:r>
      <w:proofErr w:type="spellStart"/>
      <w:r w:rsidR="00940D99" w:rsidRPr="00B14ED8">
        <w:rPr>
          <w:rFonts w:ascii="Times New Roman" w:eastAsia="Times New Roman" w:hAnsi="Times New Roman" w:cs="Times New Roman"/>
          <w:sz w:val="24"/>
          <w:szCs w:val="24"/>
        </w:rPr>
        <w:t>keuangan</w:t>
      </w:r>
      <w:proofErr w:type="spellEnd"/>
      <w:r w:rsidR="00495D89" w:rsidRPr="00B14ED8">
        <w:rPr>
          <w:rFonts w:ascii="Times New Roman" w:eastAsia="Times New Roman" w:hAnsi="Times New Roman" w:cs="Times New Roman"/>
          <w:sz w:val="24"/>
          <w:szCs w:val="24"/>
        </w:rPr>
        <w:t>.</w:t>
      </w:r>
    </w:p>
    <w:p w14:paraId="64D54003" w14:textId="1E47BC77" w:rsidR="00495D89" w:rsidRPr="00B14ED8" w:rsidRDefault="00495D89" w:rsidP="00B14ED8">
      <w:pPr>
        <w:pStyle w:val="ListParagraph"/>
        <w:numPr>
          <w:ilvl w:val="0"/>
          <w:numId w:val="14"/>
        </w:numPr>
        <w:spacing w:after="0" w:line="360" w:lineRule="auto"/>
        <w:ind w:left="567" w:hanging="567"/>
        <w:jc w:val="both"/>
        <w:rPr>
          <w:rFonts w:ascii="Times New Roman" w:eastAsia="Times New Roman" w:hAnsi="Times New Roman" w:cs="Times New Roman"/>
          <w:sz w:val="24"/>
          <w:szCs w:val="24"/>
        </w:rPr>
      </w:pPr>
      <w:r w:rsidRPr="00B14ED8">
        <w:rPr>
          <w:rFonts w:ascii="Times New Roman" w:eastAsia="Times New Roman" w:hAnsi="Times New Roman" w:cs="Times New Roman"/>
          <w:sz w:val="24"/>
          <w:szCs w:val="24"/>
        </w:rPr>
        <w:lastRenderedPageBreak/>
        <w:t xml:space="preserve">Nilai </w:t>
      </w:r>
      <w:proofErr w:type="spellStart"/>
      <w:r w:rsidRPr="00B14ED8">
        <w:rPr>
          <w:rFonts w:ascii="Times New Roman" w:eastAsia="Times New Roman" w:hAnsi="Times New Roman" w:cs="Times New Roman"/>
          <w:sz w:val="24"/>
          <w:szCs w:val="24"/>
        </w:rPr>
        <w:t>koefisien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pembiayaan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i/>
          <w:iCs/>
          <w:sz w:val="24"/>
          <w:szCs w:val="24"/>
        </w:rPr>
        <w:t>musyarakah</w:t>
      </w:r>
      <w:proofErr w:type="spellEnd"/>
      <w:r w:rsidRPr="00B14ED8">
        <w:rPr>
          <w:rFonts w:ascii="Times New Roman" w:eastAsia="Times New Roman" w:hAnsi="Times New Roman" w:cs="Times New Roman"/>
          <w:i/>
          <w:iCs/>
          <w:sz w:val="24"/>
          <w:szCs w:val="24"/>
        </w:rPr>
        <w:t xml:space="preserve"> </w:t>
      </w:r>
      <w:r w:rsidRPr="00B14ED8">
        <w:rPr>
          <w:rFonts w:ascii="Times New Roman" w:eastAsia="Times New Roman" w:hAnsi="Times New Roman" w:cs="Times New Roman"/>
          <w:sz w:val="24"/>
          <w:szCs w:val="24"/>
        </w:rPr>
        <w:t>(MSY)</w:t>
      </w:r>
      <w:r w:rsidRPr="00B14ED8">
        <w:rPr>
          <w:rFonts w:ascii="Times New Roman" w:hAnsi="Times New Roman" w:cs="Times New Roman"/>
          <w:sz w:val="24"/>
          <w:szCs w:val="24"/>
        </w:rPr>
        <w:t xml:space="preserve"> </w:t>
      </w:r>
      <w:proofErr w:type="spellStart"/>
      <w:r w:rsidRPr="00B14ED8">
        <w:rPr>
          <w:rFonts w:ascii="Times New Roman" w:hAnsi="Times New Roman" w:cs="Times New Roman"/>
          <w:sz w:val="24"/>
          <w:szCs w:val="24"/>
        </w:rPr>
        <w:t>diperoleh</w:t>
      </w:r>
      <w:proofErr w:type="spellEnd"/>
      <w:r w:rsidRPr="00B14ED8">
        <w:rPr>
          <w:rFonts w:ascii="Times New Roman" w:hAnsi="Times New Roman" w:cs="Times New Roman"/>
          <w:sz w:val="24"/>
          <w:szCs w:val="24"/>
        </w:rPr>
        <w:t xml:space="preserve"> </w:t>
      </w:r>
      <w:proofErr w:type="spellStart"/>
      <w:r w:rsidRPr="00B14ED8">
        <w:rPr>
          <w:rFonts w:ascii="Times New Roman" w:hAnsi="Times New Roman" w:cs="Times New Roman"/>
          <w:sz w:val="24"/>
          <w:szCs w:val="24"/>
        </w:rPr>
        <w:t>sebesar</w:t>
      </w:r>
      <w:proofErr w:type="spellEnd"/>
      <w:r w:rsidR="00E22598" w:rsidRPr="00B14ED8">
        <w:rPr>
          <w:rFonts w:ascii="Times New Roman" w:hAnsi="Times New Roman" w:cs="Times New Roman"/>
          <w:sz w:val="24"/>
          <w:szCs w:val="24"/>
        </w:rPr>
        <w:t xml:space="preserve"> </w:t>
      </w:r>
      <w:r w:rsidR="00E22598" w:rsidRPr="00B14ED8">
        <w:rPr>
          <w:rFonts w:ascii="Times New Roman" w:eastAsia="Times New Roman" w:hAnsi="Times New Roman" w:cs="Times New Roman"/>
          <w:sz w:val="24"/>
          <w:szCs w:val="24"/>
        </w:rPr>
        <w:t>4,073</w:t>
      </w:r>
      <w:r w:rsidR="00644EE7" w:rsidRPr="00B14ED8">
        <w:rPr>
          <w:rFonts w:ascii="Times New Roman" w:eastAsia="Times New Roman" w:hAnsi="Times New Roman" w:cs="Times New Roman"/>
          <w:sz w:val="24"/>
          <w:szCs w:val="24"/>
        </w:rPr>
        <w:t xml:space="preserve"> </w:t>
      </w:r>
      <w:proofErr w:type="spellStart"/>
      <w:r w:rsidR="00644EE7" w:rsidRPr="00B14ED8">
        <w:rPr>
          <w:rFonts w:ascii="Times New Roman" w:eastAsia="Times New Roman" w:hAnsi="Times New Roman" w:cs="Times New Roman"/>
          <w:sz w:val="24"/>
          <w:szCs w:val="24"/>
        </w:rPr>
        <w:t>dengan</w:t>
      </w:r>
      <w:proofErr w:type="spellEnd"/>
      <w:r w:rsidR="00644EE7" w:rsidRPr="00B14ED8">
        <w:rPr>
          <w:rFonts w:ascii="Times New Roman" w:eastAsia="Times New Roman" w:hAnsi="Times New Roman" w:cs="Times New Roman"/>
          <w:sz w:val="24"/>
          <w:szCs w:val="24"/>
        </w:rPr>
        <w:t xml:space="preserve"> </w:t>
      </w:r>
      <w:proofErr w:type="spellStart"/>
      <w:r w:rsidR="00644EE7" w:rsidRPr="00B14ED8">
        <w:rPr>
          <w:rFonts w:ascii="Times New Roman" w:eastAsia="Times New Roman" w:hAnsi="Times New Roman" w:cs="Times New Roman"/>
          <w:sz w:val="24"/>
          <w:szCs w:val="24"/>
        </w:rPr>
        <w:t>arah</w:t>
      </w:r>
      <w:proofErr w:type="spellEnd"/>
      <w:r w:rsidR="00644EE7" w:rsidRPr="00B14ED8">
        <w:rPr>
          <w:rFonts w:ascii="Times New Roman" w:eastAsia="Times New Roman" w:hAnsi="Times New Roman" w:cs="Times New Roman"/>
          <w:sz w:val="24"/>
          <w:szCs w:val="24"/>
        </w:rPr>
        <w:t xml:space="preserve"> </w:t>
      </w:r>
      <w:proofErr w:type="spellStart"/>
      <w:r w:rsidR="00644EE7" w:rsidRPr="00B14ED8">
        <w:rPr>
          <w:rFonts w:ascii="Times New Roman" w:eastAsia="Times New Roman" w:hAnsi="Times New Roman" w:cs="Times New Roman"/>
          <w:sz w:val="24"/>
          <w:szCs w:val="24"/>
        </w:rPr>
        <w:t>pengaruh</w:t>
      </w:r>
      <w:proofErr w:type="spellEnd"/>
      <w:r w:rsidR="00644EE7" w:rsidRPr="00B14ED8">
        <w:rPr>
          <w:rFonts w:ascii="Times New Roman" w:eastAsia="Times New Roman" w:hAnsi="Times New Roman" w:cs="Times New Roman"/>
          <w:sz w:val="24"/>
          <w:szCs w:val="24"/>
        </w:rPr>
        <w:t xml:space="preserve"> </w:t>
      </w:r>
      <w:proofErr w:type="spellStart"/>
      <w:r w:rsidR="00644EE7" w:rsidRPr="00B14ED8">
        <w:rPr>
          <w:rFonts w:ascii="Times New Roman" w:eastAsia="Times New Roman" w:hAnsi="Times New Roman" w:cs="Times New Roman"/>
          <w:sz w:val="24"/>
          <w:szCs w:val="24"/>
        </w:rPr>
        <w:t>positif</w:t>
      </w:r>
      <w:proofErr w:type="spellEnd"/>
      <w:r w:rsidR="00644EE7" w:rsidRPr="00B14ED8">
        <w:rPr>
          <w:rFonts w:ascii="Times New Roman" w:eastAsia="Times New Roman" w:hAnsi="Times New Roman" w:cs="Times New Roman"/>
          <w:sz w:val="24"/>
          <w:szCs w:val="24"/>
        </w:rPr>
        <w:t xml:space="preserve">. </w:t>
      </w:r>
      <w:proofErr w:type="spellStart"/>
      <w:r w:rsidR="00644EE7" w:rsidRPr="00B14ED8">
        <w:rPr>
          <w:rFonts w:ascii="Times New Roman" w:eastAsia="Times New Roman" w:hAnsi="Times New Roman" w:cs="Times New Roman"/>
          <w:sz w:val="24"/>
          <w:szCs w:val="24"/>
        </w:rPr>
        <w:t>Artinya</w:t>
      </w:r>
      <w:proofErr w:type="spellEnd"/>
      <w:r w:rsidR="00644EE7" w:rsidRPr="00B14ED8">
        <w:rPr>
          <w:rFonts w:ascii="Times New Roman" w:eastAsia="Times New Roman" w:hAnsi="Times New Roman" w:cs="Times New Roman"/>
          <w:sz w:val="24"/>
          <w:szCs w:val="24"/>
        </w:rPr>
        <w:t xml:space="preserve">, </w:t>
      </w:r>
      <w:proofErr w:type="spellStart"/>
      <w:r w:rsidR="00644EE7" w:rsidRPr="00B14ED8">
        <w:rPr>
          <w:rFonts w:ascii="Times New Roman" w:eastAsia="Times New Roman" w:hAnsi="Times New Roman" w:cs="Times New Roman"/>
          <w:sz w:val="24"/>
          <w:szCs w:val="24"/>
        </w:rPr>
        <w:t>semakin</w:t>
      </w:r>
      <w:proofErr w:type="spellEnd"/>
      <w:r w:rsidR="00644EE7" w:rsidRPr="00B14ED8">
        <w:rPr>
          <w:rFonts w:ascii="Times New Roman" w:eastAsia="Times New Roman" w:hAnsi="Times New Roman" w:cs="Times New Roman"/>
          <w:sz w:val="24"/>
          <w:szCs w:val="24"/>
        </w:rPr>
        <w:t xml:space="preserve"> </w:t>
      </w:r>
      <w:proofErr w:type="spellStart"/>
      <w:r w:rsidR="00644EE7" w:rsidRPr="00B14ED8">
        <w:rPr>
          <w:rFonts w:ascii="Times New Roman" w:eastAsia="Times New Roman" w:hAnsi="Times New Roman" w:cs="Times New Roman"/>
          <w:sz w:val="24"/>
          <w:szCs w:val="24"/>
        </w:rPr>
        <w:t>tinggi</w:t>
      </w:r>
      <w:proofErr w:type="spellEnd"/>
      <w:r w:rsidR="00644EE7" w:rsidRPr="00B14ED8">
        <w:rPr>
          <w:rFonts w:ascii="Times New Roman" w:eastAsia="Times New Roman" w:hAnsi="Times New Roman" w:cs="Times New Roman"/>
          <w:sz w:val="24"/>
          <w:szCs w:val="24"/>
        </w:rPr>
        <w:t xml:space="preserve"> </w:t>
      </w:r>
      <w:proofErr w:type="spellStart"/>
      <w:r w:rsidR="00644EE7" w:rsidRPr="00B14ED8">
        <w:rPr>
          <w:rFonts w:ascii="Times New Roman" w:eastAsia="Times New Roman" w:hAnsi="Times New Roman" w:cs="Times New Roman"/>
          <w:sz w:val="24"/>
          <w:szCs w:val="24"/>
        </w:rPr>
        <w:t>nilai</w:t>
      </w:r>
      <w:proofErr w:type="spellEnd"/>
      <w:r w:rsidR="00644EE7" w:rsidRPr="00B14ED8">
        <w:rPr>
          <w:rFonts w:ascii="Times New Roman" w:eastAsia="Times New Roman" w:hAnsi="Times New Roman" w:cs="Times New Roman"/>
          <w:sz w:val="24"/>
          <w:szCs w:val="24"/>
        </w:rPr>
        <w:t xml:space="preserve"> </w:t>
      </w:r>
      <w:proofErr w:type="spellStart"/>
      <w:r w:rsidR="00644EE7" w:rsidRPr="00B14ED8">
        <w:rPr>
          <w:rFonts w:ascii="Times New Roman" w:eastAsia="Times New Roman" w:hAnsi="Times New Roman" w:cs="Times New Roman"/>
          <w:sz w:val="24"/>
          <w:szCs w:val="24"/>
        </w:rPr>
        <w:t>pembiayaan</w:t>
      </w:r>
      <w:proofErr w:type="spellEnd"/>
      <w:r w:rsidR="00644EE7" w:rsidRPr="00B14ED8">
        <w:rPr>
          <w:rFonts w:ascii="Times New Roman" w:eastAsia="Times New Roman" w:hAnsi="Times New Roman" w:cs="Times New Roman"/>
          <w:sz w:val="24"/>
          <w:szCs w:val="24"/>
        </w:rPr>
        <w:t xml:space="preserve"> </w:t>
      </w:r>
      <w:proofErr w:type="spellStart"/>
      <w:r w:rsidR="00644EE7" w:rsidRPr="00B14ED8">
        <w:rPr>
          <w:rFonts w:ascii="Times New Roman" w:eastAsia="Times New Roman" w:hAnsi="Times New Roman" w:cs="Times New Roman"/>
          <w:i/>
          <w:iCs/>
          <w:sz w:val="24"/>
          <w:szCs w:val="24"/>
        </w:rPr>
        <w:t>musyarakah</w:t>
      </w:r>
      <w:proofErr w:type="spellEnd"/>
      <w:r w:rsidR="00644EE7" w:rsidRPr="00B14ED8">
        <w:rPr>
          <w:rFonts w:ascii="Times New Roman" w:eastAsia="Times New Roman" w:hAnsi="Times New Roman" w:cs="Times New Roman"/>
          <w:i/>
          <w:iCs/>
          <w:sz w:val="24"/>
          <w:szCs w:val="24"/>
        </w:rPr>
        <w:t xml:space="preserve"> </w:t>
      </w:r>
      <w:proofErr w:type="spellStart"/>
      <w:r w:rsidR="00644EE7" w:rsidRPr="00B14ED8">
        <w:rPr>
          <w:rFonts w:ascii="Times New Roman" w:eastAsia="Times New Roman" w:hAnsi="Times New Roman" w:cs="Times New Roman"/>
          <w:sz w:val="24"/>
          <w:szCs w:val="24"/>
        </w:rPr>
        <w:t>akan</w:t>
      </w:r>
      <w:proofErr w:type="spellEnd"/>
      <w:r w:rsidR="00644EE7" w:rsidRPr="00B14ED8">
        <w:rPr>
          <w:rFonts w:ascii="Times New Roman" w:eastAsia="Times New Roman" w:hAnsi="Times New Roman" w:cs="Times New Roman"/>
          <w:sz w:val="24"/>
          <w:szCs w:val="24"/>
        </w:rPr>
        <w:t xml:space="preserve"> </w:t>
      </w:r>
      <w:proofErr w:type="spellStart"/>
      <w:r w:rsidR="00644EE7" w:rsidRPr="00B14ED8">
        <w:rPr>
          <w:rFonts w:ascii="Times New Roman" w:eastAsia="Times New Roman" w:hAnsi="Times New Roman" w:cs="Times New Roman"/>
          <w:sz w:val="24"/>
          <w:szCs w:val="24"/>
        </w:rPr>
        <w:t>se</w:t>
      </w:r>
      <w:r w:rsidR="000D5C0D" w:rsidRPr="00B14ED8">
        <w:rPr>
          <w:rFonts w:ascii="Times New Roman" w:eastAsia="Times New Roman" w:hAnsi="Times New Roman" w:cs="Times New Roman"/>
          <w:sz w:val="24"/>
          <w:szCs w:val="24"/>
        </w:rPr>
        <w:t>makin</w:t>
      </w:r>
      <w:proofErr w:type="spellEnd"/>
      <w:r w:rsidR="000D5C0D" w:rsidRPr="00B14ED8">
        <w:rPr>
          <w:rFonts w:ascii="Times New Roman" w:eastAsia="Times New Roman" w:hAnsi="Times New Roman" w:cs="Times New Roman"/>
          <w:sz w:val="24"/>
          <w:szCs w:val="24"/>
        </w:rPr>
        <w:t xml:space="preserve"> </w:t>
      </w:r>
      <w:proofErr w:type="spellStart"/>
      <w:r w:rsidR="000D5C0D" w:rsidRPr="00B14ED8">
        <w:rPr>
          <w:rFonts w:ascii="Times New Roman" w:eastAsia="Times New Roman" w:hAnsi="Times New Roman" w:cs="Times New Roman"/>
          <w:sz w:val="24"/>
          <w:szCs w:val="24"/>
        </w:rPr>
        <w:t>meningkatkan</w:t>
      </w:r>
      <w:proofErr w:type="spellEnd"/>
      <w:r w:rsidR="000D5C0D" w:rsidRPr="00B14ED8">
        <w:rPr>
          <w:rFonts w:ascii="Times New Roman" w:eastAsia="Times New Roman" w:hAnsi="Times New Roman" w:cs="Times New Roman"/>
          <w:sz w:val="24"/>
          <w:szCs w:val="24"/>
        </w:rPr>
        <w:t xml:space="preserve"> </w:t>
      </w:r>
      <w:proofErr w:type="spellStart"/>
      <w:r w:rsidR="000D5C0D" w:rsidRPr="00B14ED8">
        <w:rPr>
          <w:rFonts w:ascii="Times New Roman" w:eastAsia="Times New Roman" w:hAnsi="Times New Roman" w:cs="Times New Roman"/>
          <w:sz w:val="24"/>
          <w:szCs w:val="24"/>
        </w:rPr>
        <w:t>nilai</w:t>
      </w:r>
      <w:proofErr w:type="spellEnd"/>
      <w:r w:rsidR="000D5C0D" w:rsidRPr="00B14ED8">
        <w:rPr>
          <w:rFonts w:ascii="Times New Roman" w:eastAsia="Times New Roman" w:hAnsi="Times New Roman" w:cs="Times New Roman"/>
          <w:sz w:val="24"/>
          <w:szCs w:val="24"/>
        </w:rPr>
        <w:t xml:space="preserve"> </w:t>
      </w:r>
      <w:proofErr w:type="spellStart"/>
      <w:r w:rsidR="000D5C0D" w:rsidRPr="00B14ED8">
        <w:rPr>
          <w:rFonts w:ascii="Times New Roman" w:eastAsia="Times New Roman" w:hAnsi="Times New Roman" w:cs="Times New Roman"/>
          <w:sz w:val="24"/>
          <w:szCs w:val="24"/>
        </w:rPr>
        <w:t>kinerja</w:t>
      </w:r>
      <w:proofErr w:type="spellEnd"/>
      <w:r w:rsidR="000D5C0D" w:rsidRPr="00B14ED8">
        <w:rPr>
          <w:rFonts w:ascii="Times New Roman" w:eastAsia="Times New Roman" w:hAnsi="Times New Roman" w:cs="Times New Roman"/>
          <w:sz w:val="24"/>
          <w:szCs w:val="24"/>
        </w:rPr>
        <w:t xml:space="preserve"> </w:t>
      </w:r>
      <w:proofErr w:type="spellStart"/>
      <w:r w:rsidR="000D5C0D" w:rsidRPr="00B14ED8">
        <w:rPr>
          <w:rFonts w:ascii="Times New Roman" w:eastAsia="Times New Roman" w:hAnsi="Times New Roman" w:cs="Times New Roman"/>
          <w:sz w:val="24"/>
          <w:szCs w:val="24"/>
        </w:rPr>
        <w:t>keuangan</w:t>
      </w:r>
      <w:proofErr w:type="spellEnd"/>
      <w:r w:rsidR="000D5C0D" w:rsidRPr="00B14ED8">
        <w:rPr>
          <w:rFonts w:ascii="Times New Roman" w:eastAsia="Times New Roman" w:hAnsi="Times New Roman" w:cs="Times New Roman"/>
          <w:sz w:val="24"/>
          <w:szCs w:val="24"/>
        </w:rPr>
        <w:t xml:space="preserve">. </w:t>
      </w:r>
      <w:proofErr w:type="spellStart"/>
      <w:r w:rsidR="000D5C0D" w:rsidRPr="00B14ED8">
        <w:rPr>
          <w:rFonts w:ascii="Times New Roman" w:eastAsia="Times New Roman" w:hAnsi="Times New Roman" w:cs="Times New Roman"/>
          <w:sz w:val="24"/>
          <w:szCs w:val="24"/>
        </w:rPr>
        <w:t>Semakin</w:t>
      </w:r>
      <w:proofErr w:type="spellEnd"/>
      <w:r w:rsidR="000D5C0D" w:rsidRPr="00B14ED8">
        <w:rPr>
          <w:rFonts w:ascii="Times New Roman" w:eastAsia="Times New Roman" w:hAnsi="Times New Roman" w:cs="Times New Roman"/>
          <w:sz w:val="24"/>
          <w:szCs w:val="24"/>
        </w:rPr>
        <w:t xml:space="preserve"> </w:t>
      </w:r>
      <w:proofErr w:type="spellStart"/>
      <w:r w:rsidR="000D5C0D" w:rsidRPr="00B14ED8">
        <w:rPr>
          <w:rFonts w:ascii="Times New Roman" w:eastAsia="Times New Roman" w:hAnsi="Times New Roman" w:cs="Times New Roman"/>
          <w:sz w:val="24"/>
          <w:szCs w:val="24"/>
        </w:rPr>
        <w:t>rendah</w:t>
      </w:r>
      <w:proofErr w:type="spellEnd"/>
      <w:r w:rsidR="000D5C0D" w:rsidRPr="00B14ED8">
        <w:rPr>
          <w:rFonts w:ascii="Times New Roman" w:eastAsia="Times New Roman" w:hAnsi="Times New Roman" w:cs="Times New Roman"/>
          <w:sz w:val="24"/>
          <w:szCs w:val="24"/>
        </w:rPr>
        <w:t xml:space="preserve"> </w:t>
      </w:r>
      <w:proofErr w:type="spellStart"/>
      <w:r w:rsidR="000D5C0D" w:rsidRPr="00B14ED8">
        <w:rPr>
          <w:rFonts w:ascii="Times New Roman" w:eastAsia="Times New Roman" w:hAnsi="Times New Roman" w:cs="Times New Roman"/>
          <w:sz w:val="24"/>
          <w:szCs w:val="24"/>
        </w:rPr>
        <w:t>nilai</w:t>
      </w:r>
      <w:proofErr w:type="spellEnd"/>
      <w:r w:rsidR="000D5C0D" w:rsidRPr="00B14ED8">
        <w:rPr>
          <w:rFonts w:ascii="Times New Roman" w:eastAsia="Times New Roman" w:hAnsi="Times New Roman" w:cs="Times New Roman"/>
          <w:sz w:val="24"/>
          <w:szCs w:val="24"/>
        </w:rPr>
        <w:t xml:space="preserve"> </w:t>
      </w:r>
      <w:proofErr w:type="spellStart"/>
      <w:r w:rsidR="000D5C0D" w:rsidRPr="00B14ED8">
        <w:rPr>
          <w:rFonts w:ascii="Times New Roman" w:eastAsia="Times New Roman" w:hAnsi="Times New Roman" w:cs="Times New Roman"/>
          <w:sz w:val="24"/>
          <w:szCs w:val="24"/>
        </w:rPr>
        <w:t>pembiayaan</w:t>
      </w:r>
      <w:proofErr w:type="spellEnd"/>
      <w:r w:rsidR="000D5C0D" w:rsidRPr="00B14ED8">
        <w:rPr>
          <w:rFonts w:ascii="Times New Roman" w:eastAsia="Times New Roman" w:hAnsi="Times New Roman" w:cs="Times New Roman"/>
          <w:sz w:val="24"/>
          <w:szCs w:val="24"/>
        </w:rPr>
        <w:t xml:space="preserve"> </w:t>
      </w:r>
      <w:proofErr w:type="spellStart"/>
      <w:r w:rsidR="000D5C0D" w:rsidRPr="00B14ED8">
        <w:rPr>
          <w:rFonts w:ascii="Times New Roman" w:eastAsia="Times New Roman" w:hAnsi="Times New Roman" w:cs="Times New Roman"/>
          <w:i/>
          <w:iCs/>
          <w:sz w:val="24"/>
          <w:szCs w:val="24"/>
        </w:rPr>
        <w:t>musyarakah</w:t>
      </w:r>
      <w:proofErr w:type="spellEnd"/>
      <w:r w:rsidR="000D5C0D" w:rsidRPr="00B14ED8">
        <w:rPr>
          <w:rFonts w:ascii="Times New Roman" w:eastAsia="Times New Roman" w:hAnsi="Times New Roman" w:cs="Times New Roman"/>
          <w:i/>
          <w:iCs/>
          <w:sz w:val="24"/>
          <w:szCs w:val="24"/>
        </w:rPr>
        <w:t xml:space="preserve"> </w:t>
      </w:r>
      <w:proofErr w:type="spellStart"/>
      <w:r w:rsidR="000D5C0D" w:rsidRPr="00B14ED8">
        <w:rPr>
          <w:rFonts w:ascii="Times New Roman" w:eastAsia="Times New Roman" w:hAnsi="Times New Roman" w:cs="Times New Roman"/>
          <w:sz w:val="24"/>
          <w:szCs w:val="24"/>
        </w:rPr>
        <w:t>akan</w:t>
      </w:r>
      <w:proofErr w:type="spellEnd"/>
      <w:r w:rsidR="000D5C0D" w:rsidRPr="00B14ED8">
        <w:rPr>
          <w:rFonts w:ascii="Times New Roman" w:eastAsia="Times New Roman" w:hAnsi="Times New Roman" w:cs="Times New Roman"/>
          <w:sz w:val="24"/>
          <w:szCs w:val="24"/>
        </w:rPr>
        <w:t xml:space="preserve"> </w:t>
      </w:r>
      <w:proofErr w:type="spellStart"/>
      <w:r w:rsidR="000D5C0D" w:rsidRPr="00B14ED8">
        <w:rPr>
          <w:rFonts w:ascii="Times New Roman" w:eastAsia="Times New Roman" w:hAnsi="Times New Roman" w:cs="Times New Roman"/>
          <w:sz w:val="24"/>
          <w:szCs w:val="24"/>
        </w:rPr>
        <w:t>semakin</w:t>
      </w:r>
      <w:proofErr w:type="spellEnd"/>
      <w:r w:rsidR="000D5C0D" w:rsidRPr="00B14ED8">
        <w:rPr>
          <w:rFonts w:ascii="Times New Roman" w:eastAsia="Times New Roman" w:hAnsi="Times New Roman" w:cs="Times New Roman"/>
          <w:sz w:val="24"/>
          <w:szCs w:val="24"/>
        </w:rPr>
        <w:t xml:space="preserve"> </w:t>
      </w:r>
      <w:proofErr w:type="spellStart"/>
      <w:r w:rsidR="000D5C0D" w:rsidRPr="00B14ED8">
        <w:rPr>
          <w:rFonts w:ascii="Times New Roman" w:eastAsia="Times New Roman" w:hAnsi="Times New Roman" w:cs="Times New Roman"/>
          <w:sz w:val="24"/>
          <w:szCs w:val="24"/>
        </w:rPr>
        <w:t>menuru</w:t>
      </w:r>
      <w:r w:rsidR="00A62FE3" w:rsidRPr="00B14ED8">
        <w:rPr>
          <w:rFonts w:ascii="Times New Roman" w:eastAsia="Times New Roman" w:hAnsi="Times New Roman" w:cs="Times New Roman"/>
          <w:sz w:val="24"/>
          <w:szCs w:val="24"/>
        </w:rPr>
        <w:t>nkan</w:t>
      </w:r>
      <w:proofErr w:type="spellEnd"/>
      <w:r w:rsidR="00A62FE3" w:rsidRPr="00B14ED8">
        <w:rPr>
          <w:rFonts w:ascii="Times New Roman" w:eastAsia="Times New Roman" w:hAnsi="Times New Roman" w:cs="Times New Roman"/>
          <w:sz w:val="24"/>
          <w:szCs w:val="24"/>
        </w:rPr>
        <w:t xml:space="preserve"> </w:t>
      </w:r>
      <w:proofErr w:type="spellStart"/>
      <w:r w:rsidR="00A62FE3" w:rsidRPr="00B14ED8">
        <w:rPr>
          <w:rFonts w:ascii="Times New Roman" w:eastAsia="Times New Roman" w:hAnsi="Times New Roman" w:cs="Times New Roman"/>
          <w:sz w:val="24"/>
          <w:szCs w:val="24"/>
        </w:rPr>
        <w:t>nilai</w:t>
      </w:r>
      <w:proofErr w:type="spellEnd"/>
      <w:r w:rsidR="00A62FE3" w:rsidRPr="00B14ED8">
        <w:rPr>
          <w:rFonts w:ascii="Times New Roman" w:eastAsia="Times New Roman" w:hAnsi="Times New Roman" w:cs="Times New Roman"/>
          <w:sz w:val="24"/>
          <w:szCs w:val="24"/>
        </w:rPr>
        <w:t xml:space="preserve"> </w:t>
      </w:r>
      <w:proofErr w:type="spellStart"/>
      <w:r w:rsidR="00A62FE3" w:rsidRPr="00B14ED8">
        <w:rPr>
          <w:rFonts w:ascii="Times New Roman" w:eastAsia="Times New Roman" w:hAnsi="Times New Roman" w:cs="Times New Roman"/>
          <w:sz w:val="24"/>
          <w:szCs w:val="24"/>
        </w:rPr>
        <w:t>kinerja</w:t>
      </w:r>
      <w:proofErr w:type="spellEnd"/>
      <w:r w:rsidR="00A62FE3" w:rsidRPr="00B14ED8">
        <w:rPr>
          <w:rFonts w:ascii="Times New Roman" w:eastAsia="Times New Roman" w:hAnsi="Times New Roman" w:cs="Times New Roman"/>
          <w:sz w:val="24"/>
          <w:szCs w:val="24"/>
        </w:rPr>
        <w:t xml:space="preserve"> </w:t>
      </w:r>
      <w:proofErr w:type="spellStart"/>
      <w:r w:rsidR="00A62FE3" w:rsidRPr="00B14ED8">
        <w:rPr>
          <w:rFonts w:ascii="Times New Roman" w:eastAsia="Times New Roman" w:hAnsi="Times New Roman" w:cs="Times New Roman"/>
          <w:sz w:val="24"/>
          <w:szCs w:val="24"/>
        </w:rPr>
        <w:t>keuangan</w:t>
      </w:r>
      <w:proofErr w:type="spellEnd"/>
      <w:r w:rsidR="00A55280" w:rsidRPr="00B14ED8">
        <w:rPr>
          <w:rFonts w:ascii="Times New Roman" w:eastAsia="Times New Roman" w:hAnsi="Times New Roman" w:cs="Times New Roman"/>
          <w:sz w:val="24"/>
          <w:szCs w:val="24"/>
        </w:rPr>
        <w:t>.</w:t>
      </w:r>
    </w:p>
    <w:p w14:paraId="2287690B" w14:textId="312B6DAE" w:rsidR="00790EB5" w:rsidRPr="00B14ED8" w:rsidRDefault="00790EB5" w:rsidP="00B14ED8">
      <w:pPr>
        <w:pStyle w:val="ListParagraph"/>
        <w:numPr>
          <w:ilvl w:val="0"/>
          <w:numId w:val="14"/>
        </w:numPr>
        <w:spacing w:after="0" w:line="360" w:lineRule="auto"/>
        <w:ind w:left="567" w:hanging="567"/>
        <w:jc w:val="both"/>
        <w:rPr>
          <w:rFonts w:ascii="Times New Roman" w:eastAsia="Times New Roman" w:hAnsi="Times New Roman" w:cs="Times New Roman"/>
          <w:sz w:val="24"/>
          <w:szCs w:val="24"/>
        </w:rPr>
      </w:pPr>
      <w:r w:rsidRPr="00B14ED8">
        <w:rPr>
          <w:rFonts w:ascii="Times New Roman" w:eastAsia="Times New Roman" w:hAnsi="Times New Roman" w:cs="Times New Roman"/>
          <w:sz w:val="24"/>
          <w:szCs w:val="24"/>
        </w:rPr>
        <w:t xml:space="preserve">Nilai </w:t>
      </w:r>
      <w:proofErr w:type="spellStart"/>
      <w:r w:rsidRPr="00B14ED8">
        <w:rPr>
          <w:rFonts w:ascii="Times New Roman" w:eastAsia="Times New Roman" w:hAnsi="Times New Roman" w:cs="Times New Roman"/>
          <w:sz w:val="24"/>
          <w:szCs w:val="24"/>
        </w:rPr>
        <w:t>koefisien</w:t>
      </w:r>
      <w:proofErr w:type="spellEnd"/>
      <w:r w:rsidRPr="00B14ED8">
        <w:rPr>
          <w:rFonts w:ascii="Times New Roman" w:eastAsia="Times New Roman" w:hAnsi="Times New Roman" w:cs="Times New Roman"/>
          <w:sz w:val="24"/>
          <w:szCs w:val="24"/>
        </w:rPr>
        <w:t xml:space="preserve"> </w:t>
      </w:r>
      <w:proofErr w:type="spellStart"/>
      <w:r w:rsidR="008A53E5" w:rsidRPr="00B14ED8">
        <w:rPr>
          <w:rFonts w:ascii="Times New Roman" w:eastAsia="Times New Roman" w:hAnsi="Times New Roman" w:cs="Times New Roman"/>
          <w:sz w:val="24"/>
          <w:szCs w:val="24"/>
        </w:rPr>
        <w:t>manajemen</w:t>
      </w:r>
      <w:proofErr w:type="spellEnd"/>
      <w:r w:rsidR="008A53E5" w:rsidRPr="00B14ED8">
        <w:rPr>
          <w:rFonts w:ascii="Times New Roman" w:eastAsia="Times New Roman" w:hAnsi="Times New Roman" w:cs="Times New Roman"/>
          <w:sz w:val="24"/>
          <w:szCs w:val="24"/>
        </w:rPr>
        <w:t xml:space="preserve"> </w:t>
      </w:r>
      <w:proofErr w:type="spellStart"/>
      <w:r w:rsidR="008A53E5" w:rsidRPr="00B14ED8">
        <w:rPr>
          <w:rFonts w:ascii="Times New Roman" w:eastAsia="Times New Roman" w:hAnsi="Times New Roman" w:cs="Times New Roman"/>
          <w:sz w:val="24"/>
          <w:szCs w:val="24"/>
        </w:rPr>
        <w:t>risiko</w:t>
      </w:r>
      <w:proofErr w:type="spellEnd"/>
      <w:r w:rsidR="008A53E5" w:rsidRPr="00B14ED8">
        <w:rPr>
          <w:rFonts w:ascii="Times New Roman" w:eastAsia="Times New Roman" w:hAnsi="Times New Roman" w:cs="Times New Roman"/>
          <w:sz w:val="24"/>
          <w:szCs w:val="24"/>
        </w:rPr>
        <w:t xml:space="preserve"> (MRS) </w:t>
      </w:r>
      <w:proofErr w:type="spellStart"/>
      <w:r w:rsidR="008A53E5" w:rsidRPr="00B14ED8">
        <w:rPr>
          <w:rFonts w:ascii="Times New Roman" w:eastAsia="Times New Roman" w:hAnsi="Times New Roman" w:cs="Times New Roman"/>
          <w:sz w:val="24"/>
          <w:szCs w:val="24"/>
        </w:rPr>
        <w:t>diperoleh</w:t>
      </w:r>
      <w:proofErr w:type="spellEnd"/>
      <w:r w:rsidR="008A53E5" w:rsidRPr="00B14ED8">
        <w:rPr>
          <w:rFonts w:ascii="Times New Roman" w:eastAsia="Times New Roman" w:hAnsi="Times New Roman" w:cs="Times New Roman"/>
          <w:sz w:val="24"/>
          <w:szCs w:val="24"/>
        </w:rPr>
        <w:t xml:space="preserve"> </w:t>
      </w:r>
      <w:proofErr w:type="spellStart"/>
      <w:r w:rsidR="008A53E5" w:rsidRPr="00B14ED8">
        <w:rPr>
          <w:rFonts w:ascii="Times New Roman" w:eastAsia="Times New Roman" w:hAnsi="Times New Roman" w:cs="Times New Roman"/>
          <w:sz w:val="24"/>
          <w:szCs w:val="24"/>
        </w:rPr>
        <w:t>sebesar</w:t>
      </w:r>
      <w:proofErr w:type="spellEnd"/>
      <w:r w:rsidR="008A53E5" w:rsidRPr="00B14ED8">
        <w:rPr>
          <w:rFonts w:ascii="Times New Roman" w:eastAsia="Times New Roman" w:hAnsi="Times New Roman" w:cs="Times New Roman"/>
          <w:sz w:val="24"/>
          <w:szCs w:val="24"/>
        </w:rPr>
        <w:t xml:space="preserve"> 6,443 </w:t>
      </w:r>
      <w:proofErr w:type="spellStart"/>
      <w:r w:rsidR="00A0326C" w:rsidRPr="00B14ED8">
        <w:rPr>
          <w:rFonts w:ascii="Times New Roman" w:eastAsia="Times New Roman" w:hAnsi="Times New Roman" w:cs="Times New Roman"/>
          <w:sz w:val="24"/>
          <w:szCs w:val="24"/>
        </w:rPr>
        <w:t>dengan</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arah</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pengaruh</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positif</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Artinya</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semakin</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tinggi</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implementasi</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manajemen</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risiko</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akan</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semakin</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meningkatkan</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nilai</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kinerja</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keuangan</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Semakin</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rendah</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manajemen</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risiko</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akan</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semakin</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menurunkan</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nilai</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kinerja</w:t>
      </w:r>
      <w:proofErr w:type="spellEnd"/>
      <w:r w:rsidR="00A0326C" w:rsidRPr="00B14ED8">
        <w:rPr>
          <w:rFonts w:ascii="Times New Roman" w:eastAsia="Times New Roman" w:hAnsi="Times New Roman" w:cs="Times New Roman"/>
          <w:sz w:val="24"/>
          <w:szCs w:val="24"/>
        </w:rPr>
        <w:t xml:space="preserve"> </w:t>
      </w:r>
      <w:proofErr w:type="spellStart"/>
      <w:r w:rsidR="00A0326C" w:rsidRPr="00B14ED8">
        <w:rPr>
          <w:rFonts w:ascii="Times New Roman" w:eastAsia="Times New Roman" w:hAnsi="Times New Roman" w:cs="Times New Roman"/>
          <w:sz w:val="24"/>
          <w:szCs w:val="24"/>
        </w:rPr>
        <w:t>keuangan</w:t>
      </w:r>
      <w:proofErr w:type="spellEnd"/>
      <w:r w:rsidR="003C3CB9" w:rsidRPr="00B14ED8">
        <w:rPr>
          <w:rFonts w:ascii="Times New Roman" w:eastAsia="Times New Roman" w:hAnsi="Times New Roman" w:cs="Times New Roman"/>
          <w:sz w:val="24"/>
          <w:szCs w:val="24"/>
        </w:rPr>
        <w:t>.</w:t>
      </w:r>
      <w:r w:rsidR="005005E6" w:rsidRPr="00B14ED8">
        <w:rPr>
          <w:rFonts w:ascii="Times New Roman" w:eastAsia="Times New Roman" w:hAnsi="Times New Roman" w:cs="Times New Roman"/>
          <w:sz w:val="24"/>
          <w:szCs w:val="24"/>
        </w:rPr>
        <w:t xml:space="preserve"> Dari </w:t>
      </w:r>
    </w:p>
    <w:p w14:paraId="1978D514" w14:textId="0221FB1D" w:rsidR="00AF133A" w:rsidRPr="00B14ED8" w:rsidRDefault="00337E38" w:rsidP="00B14ED8">
      <w:pPr>
        <w:pStyle w:val="ListParagraph"/>
        <w:numPr>
          <w:ilvl w:val="0"/>
          <w:numId w:val="14"/>
        </w:numPr>
        <w:spacing w:after="0" w:line="360" w:lineRule="auto"/>
        <w:ind w:left="567" w:hanging="567"/>
        <w:jc w:val="both"/>
        <w:rPr>
          <w:rFonts w:ascii="Times New Roman" w:eastAsia="Times New Roman" w:hAnsi="Times New Roman" w:cs="Times New Roman"/>
          <w:sz w:val="24"/>
          <w:szCs w:val="24"/>
        </w:rPr>
      </w:pPr>
      <w:r w:rsidRPr="00B14ED8">
        <w:rPr>
          <w:rFonts w:ascii="Times New Roman" w:eastAsia="Times New Roman" w:hAnsi="Times New Roman" w:cs="Times New Roman"/>
          <w:sz w:val="24"/>
          <w:szCs w:val="24"/>
        </w:rPr>
        <w:t xml:space="preserve">Nilai </w:t>
      </w:r>
      <w:proofErr w:type="spellStart"/>
      <w:r w:rsidRPr="00B14ED8">
        <w:rPr>
          <w:rFonts w:ascii="Times New Roman" w:eastAsia="Times New Roman" w:hAnsi="Times New Roman" w:cs="Times New Roman"/>
          <w:sz w:val="24"/>
          <w:szCs w:val="24"/>
        </w:rPr>
        <w:t>koefisien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pembiayaan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i/>
          <w:iCs/>
          <w:sz w:val="24"/>
          <w:szCs w:val="24"/>
        </w:rPr>
        <w:t>mudharabah</w:t>
      </w:r>
      <w:proofErr w:type="spellEnd"/>
      <w:r w:rsidRPr="00B14ED8">
        <w:rPr>
          <w:rFonts w:ascii="Times New Roman" w:eastAsia="Times New Roman" w:hAnsi="Times New Roman" w:cs="Times New Roman"/>
          <w:i/>
          <w:iCs/>
          <w:sz w:val="24"/>
          <w:szCs w:val="24"/>
        </w:rPr>
        <w:t xml:space="preserve"> </w:t>
      </w:r>
      <w:r w:rsidRPr="00B14ED8">
        <w:rPr>
          <w:rFonts w:ascii="Times New Roman" w:eastAsia="Times New Roman" w:hAnsi="Times New Roman" w:cs="Times New Roman"/>
          <w:sz w:val="24"/>
          <w:szCs w:val="24"/>
        </w:rPr>
        <w:t xml:space="preserve">(MDB) </w:t>
      </w:r>
      <w:proofErr w:type="spellStart"/>
      <w:r w:rsidRPr="00B14ED8">
        <w:rPr>
          <w:rFonts w:ascii="Times New Roman" w:eastAsia="Times New Roman" w:hAnsi="Times New Roman" w:cs="Times New Roman"/>
          <w:sz w:val="24"/>
          <w:szCs w:val="24"/>
        </w:rPr>
        <w:t>dengan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moderasi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manajemen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risiko</w:t>
      </w:r>
      <w:proofErr w:type="spellEnd"/>
      <w:r w:rsidRPr="00B14ED8">
        <w:rPr>
          <w:rFonts w:ascii="Times New Roman" w:eastAsia="Times New Roman" w:hAnsi="Times New Roman" w:cs="Times New Roman"/>
          <w:sz w:val="24"/>
          <w:szCs w:val="24"/>
        </w:rPr>
        <w:t xml:space="preserve"> (MRS) </w:t>
      </w:r>
      <w:proofErr w:type="spellStart"/>
      <w:r w:rsidRPr="00B14ED8">
        <w:rPr>
          <w:rFonts w:ascii="Times New Roman" w:eastAsia="Times New Roman" w:hAnsi="Times New Roman" w:cs="Times New Roman"/>
          <w:sz w:val="24"/>
          <w:szCs w:val="24"/>
        </w:rPr>
        <w:t>diperoleh</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sebesar</w:t>
      </w:r>
      <w:proofErr w:type="spellEnd"/>
      <w:r w:rsidRPr="00B14ED8">
        <w:rPr>
          <w:rFonts w:ascii="Times New Roman" w:eastAsia="Times New Roman" w:hAnsi="Times New Roman" w:cs="Times New Roman"/>
          <w:sz w:val="24"/>
          <w:szCs w:val="24"/>
        </w:rPr>
        <w:t xml:space="preserve"> -1,002 </w:t>
      </w:r>
      <w:proofErr w:type="spellStart"/>
      <w:r w:rsidRPr="00B14ED8">
        <w:rPr>
          <w:rFonts w:ascii="Times New Roman" w:eastAsia="Times New Roman" w:hAnsi="Times New Roman" w:cs="Times New Roman"/>
          <w:sz w:val="24"/>
          <w:szCs w:val="24"/>
        </w:rPr>
        <w:t>dengan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arah</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pengaruh</w:t>
      </w:r>
      <w:proofErr w:type="spellEnd"/>
      <w:r w:rsidRPr="00B14ED8">
        <w:rPr>
          <w:rFonts w:ascii="Times New Roman" w:eastAsia="Times New Roman" w:hAnsi="Times New Roman" w:cs="Times New Roman"/>
          <w:sz w:val="24"/>
          <w:szCs w:val="24"/>
        </w:rPr>
        <w:t xml:space="preserve"> </w:t>
      </w:r>
      <w:proofErr w:type="spellStart"/>
      <w:r w:rsidR="000647AA" w:rsidRPr="00B14ED8">
        <w:rPr>
          <w:rFonts w:ascii="Times New Roman" w:eastAsia="Times New Roman" w:hAnsi="Times New Roman" w:cs="Times New Roman"/>
          <w:sz w:val="24"/>
          <w:szCs w:val="24"/>
        </w:rPr>
        <w:t>negatif</w:t>
      </w:r>
      <w:proofErr w:type="spellEnd"/>
      <w:r w:rsidR="000647AA" w:rsidRPr="00B14ED8">
        <w:rPr>
          <w:rFonts w:ascii="Times New Roman" w:eastAsia="Times New Roman" w:hAnsi="Times New Roman" w:cs="Times New Roman"/>
          <w:sz w:val="24"/>
          <w:szCs w:val="24"/>
        </w:rPr>
        <w:t xml:space="preserve">. </w:t>
      </w:r>
      <w:proofErr w:type="spellStart"/>
      <w:r w:rsidR="007566E0" w:rsidRPr="00B14ED8">
        <w:rPr>
          <w:rFonts w:ascii="Times New Roman" w:eastAsia="Times New Roman" w:hAnsi="Times New Roman" w:cs="Times New Roman"/>
          <w:sz w:val="24"/>
          <w:szCs w:val="24"/>
        </w:rPr>
        <w:t>Artinya</w:t>
      </w:r>
      <w:proofErr w:type="spellEnd"/>
      <w:r w:rsidR="007566E0" w:rsidRPr="00B14ED8">
        <w:rPr>
          <w:rFonts w:ascii="Times New Roman" w:eastAsia="Times New Roman" w:hAnsi="Times New Roman" w:cs="Times New Roman"/>
          <w:sz w:val="24"/>
          <w:szCs w:val="24"/>
        </w:rPr>
        <w:t xml:space="preserve"> </w:t>
      </w:r>
      <w:proofErr w:type="spellStart"/>
      <w:r w:rsidR="00F62A4C" w:rsidRPr="00B14ED8">
        <w:rPr>
          <w:rFonts w:ascii="Times New Roman" w:eastAsia="Times New Roman" w:hAnsi="Times New Roman" w:cs="Times New Roman"/>
          <w:sz w:val="24"/>
          <w:szCs w:val="24"/>
        </w:rPr>
        <w:t>manajemen</w:t>
      </w:r>
      <w:proofErr w:type="spellEnd"/>
      <w:r w:rsidR="00F62A4C" w:rsidRPr="00B14ED8">
        <w:rPr>
          <w:rFonts w:ascii="Times New Roman" w:eastAsia="Times New Roman" w:hAnsi="Times New Roman" w:cs="Times New Roman"/>
          <w:sz w:val="24"/>
          <w:szCs w:val="24"/>
        </w:rPr>
        <w:t xml:space="preserve"> </w:t>
      </w:r>
      <w:proofErr w:type="spellStart"/>
      <w:r w:rsidR="00F62A4C" w:rsidRPr="00B14ED8">
        <w:rPr>
          <w:rFonts w:ascii="Times New Roman" w:eastAsia="Times New Roman" w:hAnsi="Times New Roman" w:cs="Times New Roman"/>
          <w:sz w:val="24"/>
          <w:szCs w:val="24"/>
        </w:rPr>
        <w:t>risiko</w:t>
      </w:r>
      <w:proofErr w:type="spellEnd"/>
      <w:r w:rsidR="00E72456" w:rsidRPr="00B14ED8">
        <w:rPr>
          <w:rFonts w:ascii="Times New Roman" w:eastAsia="Times New Roman" w:hAnsi="Times New Roman" w:cs="Times New Roman"/>
          <w:sz w:val="24"/>
          <w:szCs w:val="24"/>
        </w:rPr>
        <w:t xml:space="preserve"> </w:t>
      </w:r>
      <w:r w:rsidR="006148AE" w:rsidRPr="00B14ED8">
        <w:rPr>
          <w:rFonts w:ascii="Times New Roman" w:eastAsia="Times New Roman" w:hAnsi="Times New Roman" w:cs="Times New Roman"/>
          <w:sz w:val="24"/>
          <w:szCs w:val="24"/>
        </w:rPr>
        <w:t xml:space="preserve">yang </w:t>
      </w:r>
      <w:proofErr w:type="spellStart"/>
      <w:r w:rsidR="006148AE" w:rsidRPr="00B14ED8">
        <w:rPr>
          <w:rFonts w:ascii="Times New Roman" w:eastAsia="Times New Roman" w:hAnsi="Times New Roman" w:cs="Times New Roman"/>
          <w:sz w:val="24"/>
          <w:szCs w:val="24"/>
        </w:rPr>
        <w:t>diterapkan</w:t>
      </w:r>
      <w:proofErr w:type="spellEnd"/>
      <w:r w:rsidR="006148AE" w:rsidRPr="00B14ED8">
        <w:rPr>
          <w:rFonts w:ascii="Times New Roman" w:eastAsia="Times New Roman" w:hAnsi="Times New Roman" w:cs="Times New Roman"/>
          <w:i/>
          <w:iCs/>
          <w:sz w:val="24"/>
          <w:szCs w:val="24"/>
        </w:rPr>
        <w:t xml:space="preserve"> </w:t>
      </w:r>
      <w:proofErr w:type="spellStart"/>
      <w:r w:rsidR="003F441B" w:rsidRPr="00B14ED8">
        <w:rPr>
          <w:rFonts w:ascii="Times New Roman" w:eastAsia="Times New Roman" w:hAnsi="Times New Roman" w:cs="Times New Roman"/>
          <w:sz w:val="24"/>
          <w:szCs w:val="24"/>
        </w:rPr>
        <w:t>dapat</w:t>
      </w:r>
      <w:proofErr w:type="spellEnd"/>
      <w:r w:rsidR="003F441B" w:rsidRPr="00B14ED8">
        <w:rPr>
          <w:rFonts w:ascii="Times New Roman" w:eastAsia="Times New Roman" w:hAnsi="Times New Roman" w:cs="Times New Roman"/>
          <w:sz w:val="24"/>
          <w:szCs w:val="24"/>
        </w:rPr>
        <w:t xml:space="preserve"> </w:t>
      </w:r>
      <w:proofErr w:type="spellStart"/>
      <w:r w:rsidR="003F441B" w:rsidRPr="00B14ED8">
        <w:rPr>
          <w:rFonts w:ascii="Times New Roman" w:eastAsia="Times New Roman" w:hAnsi="Times New Roman" w:cs="Times New Roman"/>
          <w:sz w:val="24"/>
          <w:szCs w:val="24"/>
        </w:rPr>
        <w:t>melemahkan</w:t>
      </w:r>
      <w:proofErr w:type="spellEnd"/>
      <w:r w:rsidR="003F441B" w:rsidRPr="00B14ED8">
        <w:rPr>
          <w:rFonts w:ascii="Times New Roman" w:eastAsia="Times New Roman" w:hAnsi="Times New Roman" w:cs="Times New Roman"/>
          <w:sz w:val="24"/>
          <w:szCs w:val="24"/>
        </w:rPr>
        <w:t xml:space="preserve"> </w:t>
      </w:r>
      <w:proofErr w:type="spellStart"/>
      <w:r w:rsidR="003F441B" w:rsidRPr="00B14ED8">
        <w:rPr>
          <w:rFonts w:ascii="Times New Roman" w:eastAsia="Times New Roman" w:hAnsi="Times New Roman" w:cs="Times New Roman"/>
          <w:sz w:val="24"/>
          <w:szCs w:val="24"/>
        </w:rPr>
        <w:t>efek</w:t>
      </w:r>
      <w:proofErr w:type="spellEnd"/>
      <w:r w:rsidR="003F441B" w:rsidRPr="00B14ED8">
        <w:rPr>
          <w:rFonts w:ascii="Times New Roman" w:eastAsia="Times New Roman" w:hAnsi="Times New Roman" w:cs="Times New Roman"/>
          <w:sz w:val="24"/>
          <w:szCs w:val="24"/>
        </w:rPr>
        <w:t xml:space="preserve"> </w:t>
      </w:r>
      <w:proofErr w:type="spellStart"/>
      <w:r w:rsidR="001750D0" w:rsidRPr="00B14ED8">
        <w:rPr>
          <w:rFonts w:ascii="Times New Roman" w:eastAsia="Times New Roman" w:hAnsi="Times New Roman" w:cs="Times New Roman"/>
          <w:sz w:val="24"/>
          <w:szCs w:val="24"/>
        </w:rPr>
        <w:t>pembiayaan</w:t>
      </w:r>
      <w:proofErr w:type="spellEnd"/>
      <w:r w:rsidR="001750D0" w:rsidRPr="00B14ED8">
        <w:rPr>
          <w:rFonts w:ascii="Times New Roman" w:eastAsia="Times New Roman" w:hAnsi="Times New Roman" w:cs="Times New Roman"/>
          <w:sz w:val="24"/>
          <w:szCs w:val="24"/>
        </w:rPr>
        <w:t xml:space="preserve"> </w:t>
      </w:r>
      <w:proofErr w:type="spellStart"/>
      <w:r w:rsidR="001750D0" w:rsidRPr="00B14ED8">
        <w:rPr>
          <w:rFonts w:ascii="Times New Roman" w:eastAsia="Times New Roman" w:hAnsi="Times New Roman" w:cs="Times New Roman"/>
          <w:i/>
          <w:iCs/>
          <w:sz w:val="24"/>
          <w:szCs w:val="24"/>
        </w:rPr>
        <w:t>mudharabah</w:t>
      </w:r>
      <w:proofErr w:type="spellEnd"/>
      <w:r w:rsidR="001750D0" w:rsidRPr="00B14ED8">
        <w:rPr>
          <w:rFonts w:ascii="Times New Roman" w:eastAsia="Times New Roman" w:hAnsi="Times New Roman" w:cs="Times New Roman"/>
          <w:i/>
          <w:iCs/>
          <w:sz w:val="24"/>
          <w:szCs w:val="24"/>
        </w:rPr>
        <w:t xml:space="preserve"> </w:t>
      </w:r>
      <w:proofErr w:type="spellStart"/>
      <w:r w:rsidR="001750D0" w:rsidRPr="00B14ED8">
        <w:rPr>
          <w:rFonts w:ascii="Times New Roman" w:eastAsia="Times New Roman" w:hAnsi="Times New Roman" w:cs="Times New Roman"/>
          <w:sz w:val="24"/>
          <w:szCs w:val="24"/>
        </w:rPr>
        <w:t>terhadap</w:t>
      </w:r>
      <w:proofErr w:type="spellEnd"/>
      <w:r w:rsidR="001750D0" w:rsidRPr="00B14ED8">
        <w:rPr>
          <w:rFonts w:ascii="Times New Roman" w:eastAsia="Times New Roman" w:hAnsi="Times New Roman" w:cs="Times New Roman"/>
          <w:sz w:val="24"/>
          <w:szCs w:val="24"/>
        </w:rPr>
        <w:t xml:space="preserve"> </w:t>
      </w:r>
      <w:proofErr w:type="spellStart"/>
      <w:r w:rsidR="001750D0" w:rsidRPr="00B14ED8">
        <w:rPr>
          <w:rFonts w:ascii="Times New Roman" w:eastAsia="Times New Roman" w:hAnsi="Times New Roman" w:cs="Times New Roman"/>
          <w:sz w:val="24"/>
          <w:szCs w:val="24"/>
        </w:rPr>
        <w:t>kinerja</w:t>
      </w:r>
      <w:proofErr w:type="spellEnd"/>
      <w:r w:rsidR="001750D0" w:rsidRPr="00B14ED8">
        <w:rPr>
          <w:rFonts w:ascii="Times New Roman" w:eastAsia="Times New Roman" w:hAnsi="Times New Roman" w:cs="Times New Roman"/>
          <w:sz w:val="24"/>
          <w:szCs w:val="24"/>
        </w:rPr>
        <w:t xml:space="preserve"> </w:t>
      </w:r>
      <w:proofErr w:type="spellStart"/>
      <w:r w:rsidR="001750D0" w:rsidRPr="00B14ED8">
        <w:rPr>
          <w:rFonts w:ascii="Times New Roman" w:eastAsia="Times New Roman" w:hAnsi="Times New Roman" w:cs="Times New Roman"/>
          <w:sz w:val="24"/>
          <w:szCs w:val="24"/>
        </w:rPr>
        <w:t>keuangan</w:t>
      </w:r>
      <w:proofErr w:type="spellEnd"/>
      <w:r w:rsidR="0097096F" w:rsidRPr="00B14ED8">
        <w:rPr>
          <w:rFonts w:ascii="Times New Roman" w:eastAsia="Times New Roman" w:hAnsi="Times New Roman" w:cs="Times New Roman"/>
          <w:sz w:val="24"/>
          <w:szCs w:val="24"/>
        </w:rPr>
        <w:t>.</w:t>
      </w:r>
    </w:p>
    <w:p w14:paraId="5414C8D7" w14:textId="0C3F281D" w:rsidR="006970D5" w:rsidRPr="00B14ED8" w:rsidRDefault="00682603" w:rsidP="00B14ED8">
      <w:pPr>
        <w:pStyle w:val="ListParagraph"/>
        <w:numPr>
          <w:ilvl w:val="0"/>
          <w:numId w:val="14"/>
        </w:numPr>
        <w:spacing w:after="0" w:line="360" w:lineRule="auto"/>
        <w:ind w:left="567" w:hanging="567"/>
        <w:jc w:val="both"/>
        <w:rPr>
          <w:rFonts w:ascii="Times New Roman" w:eastAsia="Times New Roman" w:hAnsi="Times New Roman" w:cs="Times New Roman"/>
          <w:sz w:val="24"/>
          <w:szCs w:val="24"/>
        </w:rPr>
      </w:pPr>
      <w:r w:rsidRPr="00B14ED8">
        <w:rPr>
          <w:rFonts w:ascii="Times New Roman" w:eastAsia="Times New Roman" w:hAnsi="Times New Roman" w:cs="Times New Roman"/>
          <w:sz w:val="24"/>
          <w:szCs w:val="24"/>
        </w:rPr>
        <w:t xml:space="preserve">Nilai </w:t>
      </w:r>
      <w:proofErr w:type="spellStart"/>
      <w:r w:rsidRPr="00B14ED8">
        <w:rPr>
          <w:rFonts w:ascii="Times New Roman" w:eastAsia="Times New Roman" w:hAnsi="Times New Roman" w:cs="Times New Roman"/>
          <w:sz w:val="24"/>
          <w:szCs w:val="24"/>
        </w:rPr>
        <w:t>koefisien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pembiayaan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i/>
          <w:iCs/>
          <w:sz w:val="24"/>
          <w:szCs w:val="24"/>
        </w:rPr>
        <w:t>mu</w:t>
      </w:r>
      <w:r w:rsidR="0044314B" w:rsidRPr="00B14ED8">
        <w:rPr>
          <w:rFonts w:ascii="Times New Roman" w:eastAsia="Times New Roman" w:hAnsi="Times New Roman" w:cs="Times New Roman"/>
          <w:i/>
          <w:iCs/>
          <w:sz w:val="24"/>
          <w:szCs w:val="24"/>
        </w:rPr>
        <w:t>syarakah</w:t>
      </w:r>
      <w:proofErr w:type="spellEnd"/>
      <w:r w:rsidRPr="00B14ED8">
        <w:rPr>
          <w:rFonts w:ascii="Times New Roman" w:eastAsia="Times New Roman" w:hAnsi="Times New Roman" w:cs="Times New Roman"/>
          <w:i/>
          <w:iCs/>
          <w:sz w:val="24"/>
          <w:szCs w:val="24"/>
        </w:rPr>
        <w:t xml:space="preserve"> </w:t>
      </w:r>
      <w:r w:rsidRPr="00B14ED8">
        <w:rPr>
          <w:rFonts w:ascii="Times New Roman" w:eastAsia="Times New Roman" w:hAnsi="Times New Roman" w:cs="Times New Roman"/>
          <w:sz w:val="24"/>
          <w:szCs w:val="24"/>
        </w:rPr>
        <w:t>(M</w:t>
      </w:r>
      <w:r w:rsidR="0044314B" w:rsidRPr="00B14ED8">
        <w:rPr>
          <w:rFonts w:ascii="Times New Roman" w:eastAsia="Times New Roman" w:hAnsi="Times New Roman" w:cs="Times New Roman"/>
          <w:sz w:val="24"/>
          <w:szCs w:val="24"/>
        </w:rPr>
        <w:t>SY</w:t>
      </w:r>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dengan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moderasi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manajemen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risiko</w:t>
      </w:r>
      <w:proofErr w:type="spellEnd"/>
      <w:r w:rsidRPr="00B14ED8">
        <w:rPr>
          <w:rFonts w:ascii="Times New Roman" w:eastAsia="Times New Roman" w:hAnsi="Times New Roman" w:cs="Times New Roman"/>
          <w:sz w:val="24"/>
          <w:szCs w:val="24"/>
        </w:rPr>
        <w:t xml:space="preserve"> (MRS) </w:t>
      </w:r>
      <w:proofErr w:type="spellStart"/>
      <w:r w:rsidRPr="00B14ED8">
        <w:rPr>
          <w:rFonts w:ascii="Times New Roman" w:eastAsia="Times New Roman" w:hAnsi="Times New Roman" w:cs="Times New Roman"/>
          <w:sz w:val="24"/>
          <w:szCs w:val="24"/>
        </w:rPr>
        <w:t>diperoleh</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sebesar</w:t>
      </w:r>
      <w:proofErr w:type="spellEnd"/>
      <w:r w:rsidRPr="00B14ED8">
        <w:rPr>
          <w:rFonts w:ascii="Times New Roman" w:eastAsia="Times New Roman" w:hAnsi="Times New Roman" w:cs="Times New Roman"/>
          <w:sz w:val="24"/>
          <w:szCs w:val="24"/>
        </w:rPr>
        <w:t xml:space="preserve"> -1,</w:t>
      </w:r>
      <w:r w:rsidR="008446F0" w:rsidRPr="00B14ED8">
        <w:rPr>
          <w:rFonts w:ascii="Times New Roman" w:eastAsia="Times New Roman" w:hAnsi="Times New Roman" w:cs="Times New Roman"/>
          <w:sz w:val="24"/>
          <w:szCs w:val="24"/>
        </w:rPr>
        <w:t>682</w:t>
      </w:r>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dengan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arah</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pengaruh</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negatif</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Artinya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manajemen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risiko</w:t>
      </w:r>
      <w:proofErr w:type="spellEnd"/>
      <w:r w:rsidRPr="00B14ED8">
        <w:rPr>
          <w:rFonts w:ascii="Times New Roman" w:eastAsia="Times New Roman" w:hAnsi="Times New Roman" w:cs="Times New Roman"/>
          <w:sz w:val="24"/>
          <w:szCs w:val="24"/>
        </w:rPr>
        <w:t xml:space="preserve"> yang </w:t>
      </w:r>
      <w:proofErr w:type="spellStart"/>
      <w:r w:rsidRPr="00B14ED8">
        <w:rPr>
          <w:rFonts w:ascii="Times New Roman" w:eastAsia="Times New Roman" w:hAnsi="Times New Roman" w:cs="Times New Roman"/>
          <w:sz w:val="24"/>
          <w:szCs w:val="24"/>
        </w:rPr>
        <w:t>diterapkan</w:t>
      </w:r>
      <w:proofErr w:type="spellEnd"/>
      <w:r w:rsidRPr="00B14ED8">
        <w:rPr>
          <w:rFonts w:ascii="Times New Roman" w:eastAsia="Times New Roman" w:hAnsi="Times New Roman" w:cs="Times New Roman"/>
          <w:i/>
          <w:iCs/>
          <w:sz w:val="24"/>
          <w:szCs w:val="24"/>
        </w:rPr>
        <w:t xml:space="preserve"> </w:t>
      </w:r>
      <w:proofErr w:type="spellStart"/>
      <w:r w:rsidR="009856DF" w:rsidRPr="00B14ED8">
        <w:rPr>
          <w:rFonts w:ascii="Times New Roman" w:eastAsia="Times New Roman" w:hAnsi="Times New Roman" w:cs="Times New Roman"/>
          <w:sz w:val="24"/>
          <w:szCs w:val="24"/>
        </w:rPr>
        <w:t>dapat</w:t>
      </w:r>
      <w:proofErr w:type="spellEnd"/>
      <w:r w:rsidR="006970D5" w:rsidRPr="00B14ED8">
        <w:rPr>
          <w:rFonts w:ascii="Times New Roman" w:eastAsia="Times New Roman" w:hAnsi="Times New Roman" w:cs="Times New Roman"/>
          <w:sz w:val="24"/>
          <w:szCs w:val="24"/>
        </w:rPr>
        <w:t xml:space="preserve"> </w:t>
      </w:r>
      <w:proofErr w:type="spellStart"/>
      <w:r w:rsidR="000C4570" w:rsidRPr="00B14ED8">
        <w:rPr>
          <w:rFonts w:ascii="Times New Roman" w:eastAsia="Times New Roman" w:hAnsi="Times New Roman" w:cs="Times New Roman"/>
          <w:sz w:val="24"/>
          <w:szCs w:val="24"/>
        </w:rPr>
        <w:t>melemahkan</w:t>
      </w:r>
      <w:proofErr w:type="spellEnd"/>
      <w:r w:rsidR="000C4570" w:rsidRPr="00B14ED8">
        <w:rPr>
          <w:rFonts w:ascii="Times New Roman" w:eastAsia="Times New Roman" w:hAnsi="Times New Roman" w:cs="Times New Roman"/>
          <w:sz w:val="24"/>
          <w:szCs w:val="24"/>
        </w:rPr>
        <w:t xml:space="preserve"> </w:t>
      </w:r>
      <w:proofErr w:type="spellStart"/>
      <w:r w:rsidR="000C4570" w:rsidRPr="00B14ED8">
        <w:rPr>
          <w:rFonts w:ascii="Times New Roman" w:eastAsia="Times New Roman" w:hAnsi="Times New Roman" w:cs="Times New Roman"/>
          <w:sz w:val="24"/>
          <w:szCs w:val="24"/>
        </w:rPr>
        <w:t>efek</w:t>
      </w:r>
      <w:proofErr w:type="spellEnd"/>
      <w:r w:rsidR="006970D5" w:rsidRPr="00B14ED8">
        <w:rPr>
          <w:rFonts w:ascii="Times New Roman" w:eastAsia="Times New Roman" w:hAnsi="Times New Roman" w:cs="Times New Roman"/>
          <w:sz w:val="24"/>
          <w:szCs w:val="24"/>
        </w:rPr>
        <w:t xml:space="preserve"> </w:t>
      </w:r>
      <w:proofErr w:type="spellStart"/>
      <w:r w:rsidR="006970D5" w:rsidRPr="00B14ED8">
        <w:rPr>
          <w:rFonts w:ascii="Times New Roman" w:eastAsia="Times New Roman" w:hAnsi="Times New Roman" w:cs="Times New Roman"/>
          <w:sz w:val="24"/>
          <w:szCs w:val="24"/>
        </w:rPr>
        <w:t>pembiayaan</w:t>
      </w:r>
      <w:proofErr w:type="spellEnd"/>
      <w:r w:rsidR="006970D5" w:rsidRPr="00B14ED8">
        <w:rPr>
          <w:rFonts w:ascii="Times New Roman" w:eastAsia="Times New Roman" w:hAnsi="Times New Roman" w:cs="Times New Roman"/>
          <w:sz w:val="24"/>
          <w:szCs w:val="24"/>
        </w:rPr>
        <w:t xml:space="preserve"> </w:t>
      </w:r>
      <w:proofErr w:type="spellStart"/>
      <w:r w:rsidR="006970D5" w:rsidRPr="00B14ED8">
        <w:rPr>
          <w:rFonts w:ascii="Times New Roman" w:eastAsia="Times New Roman" w:hAnsi="Times New Roman" w:cs="Times New Roman"/>
          <w:i/>
          <w:iCs/>
          <w:sz w:val="24"/>
          <w:szCs w:val="24"/>
        </w:rPr>
        <w:t>mudharabah</w:t>
      </w:r>
      <w:proofErr w:type="spellEnd"/>
      <w:r w:rsidR="006970D5" w:rsidRPr="00B14ED8">
        <w:rPr>
          <w:rFonts w:ascii="Times New Roman" w:eastAsia="Times New Roman" w:hAnsi="Times New Roman" w:cs="Times New Roman"/>
          <w:i/>
          <w:iCs/>
          <w:sz w:val="24"/>
          <w:szCs w:val="24"/>
        </w:rPr>
        <w:t xml:space="preserve"> </w:t>
      </w:r>
      <w:proofErr w:type="spellStart"/>
      <w:r w:rsidR="006970D5" w:rsidRPr="00B14ED8">
        <w:rPr>
          <w:rFonts w:ascii="Times New Roman" w:eastAsia="Times New Roman" w:hAnsi="Times New Roman" w:cs="Times New Roman"/>
          <w:sz w:val="24"/>
          <w:szCs w:val="24"/>
        </w:rPr>
        <w:t>terhadap</w:t>
      </w:r>
      <w:proofErr w:type="spellEnd"/>
      <w:r w:rsidR="006970D5" w:rsidRPr="00B14ED8">
        <w:rPr>
          <w:rFonts w:ascii="Times New Roman" w:eastAsia="Times New Roman" w:hAnsi="Times New Roman" w:cs="Times New Roman"/>
          <w:sz w:val="24"/>
          <w:szCs w:val="24"/>
        </w:rPr>
        <w:t xml:space="preserve"> </w:t>
      </w:r>
      <w:proofErr w:type="spellStart"/>
      <w:r w:rsidR="006970D5" w:rsidRPr="00B14ED8">
        <w:rPr>
          <w:rFonts w:ascii="Times New Roman" w:eastAsia="Times New Roman" w:hAnsi="Times New Roman" w:cs="Times New Roman"/>
          <w:sz w:val="24"/>
          <w:szCs w:val="24"/>
        </w:rPr>
        <w:t>kinerja</w:t>
      </w:r>
      <w:proofErr w:type="spellEnd"/>
      <w:r w:rsidR="006970D5" w:rsidRPr="00B14ED8">
        <w:rPr>
          <w:rFonts w:ascii="Times New Roman" w:eastAsia="Times New Roman" w:hAnsi="Times New Roman" w:cs="Times New Roman"/>
          <w:sz w:val="24"/>
          <w:szCs w:val="24"/>
        </w:rPr>
        <w:t xml:space="preserve"> </w:t>
      </w:r>
      <w:proofErr w:type="spellStart"/>
      <w:r w:rsidR="006970D5" w:rsidRPr="00B14ED8">
        <w:rPr>
          <w:rFonts w:ascii="Times New Roman" w:eastAsia="Times New Roman" w:hAnsi="Times New Roman" w:cs="Times New Roman"/>
          <w:sz w:val="24"/>
          <w:szCs w:val="24"/>
        </w:rPr>
        <w:t>keuangan</w:t>
      </w:r>
      <w:proofErr w:type="spellEnd"/>
      <w:r w:rsidR="00644578" w:rsidRPr="00B14ED8">
        <w:rPr>
          <w:rFonts w:ascii="Times New Roman" w:eastAsia="Times New Roman" w:hAnsi="Times New Roman" w:cs="Times New Roman"/>
          <w:sz w:val="24"/>
          <w:szCs w:val="24"/>
        </w:rPr>
        <w:t>.</w:t>
      </w:r>
    </w:p>
    <w:p w14:paraId="2F9B7C5C" w14:textId="314AF2F2" w:rsidR="00162D87" w:rsidRPr="00B14ED8" w:rsidRDefault="00162D87" w:rsidP="00B14ED8">
      <w:pPr>
        <w:tabs>
          <w:tab w:val="left" w:pos="567"/>
        </w:tabs>
        <w:spacing w:after="0" w:line="360" w:lineRule="auto"/>
        <w:jc w:val="both"/>
        <w:rPr>
          <w:rFonts w:ascii="Times New Roman" w:eastAsia="Times New Roman" w:hAnsi="Times New Roman" w:cs="Times New Roman"/>
          <w:b/>
          <w:bCs/>
          <w:sz w:val="24"/>
          <w:szCs w:val="24"/>
        </w:rPr>
      </w:pPr>
      <w:r w:rsidRPr="00B14ED8">
        <w:rPr>
          <w:rFonts w:ascii="Times New Roman" w:eastAsia="Times New Roman" w:hAnsi="Times New Roman" w:cs="Times New Roman"/>
          <w:b/>
          <w:bCs/>
          <w:sz w:val="24"/>
          <w:szCs w:val="24"/>
        </w:rPr>
        <w:t xml:space="preserve">Uji </w:t>
      </w:r>
      <w:proofErr w:type="spellStart"/>
      <w:r w:rsidRPr="00B14ED8">
        <w:rPr>
          <w:rFonts w:ascii="Times New Roman" w:eastAsia="Times New Roman" w:hAnsi="Times New Roman" w:cs="Times New Roman"/>
          <w:b/>
          <w:bCs/>
          <w:sz w:val="24"/>
          <w:szCs w:val="24"/>
        </w:rPr>
        <w:t>Hipotesis</w:t>
      </w:r>
      <w:proofErr w:type="spellEnd"/>
    </w:p>
    <w:p w14:paraId="117B3C3F" w14:textId="2D460D11" w:rsidR="00FB2E3C" w:rsidRPr="00B14ED8" w:rsidRDefault="002C6767" w:rsidP="00B14ED8">
      <w:pPr>
        <w:tabs>
          <w:tab w:val="left" w:pos="567"/>
        </w:tabs>
        <w:spacing w:after="0" w:line="360" w:lineRule="auto"/>
        <w:ind w:firstLine="567"/>
        <w:jc w:val="both"/>
        <w:rPr>
          <w:rFonts w:ascii="Times New Roman" w:eastAsia="Times New Roman" w:hAnsi="Times New Roman" w:cs="Times New Roman"/>
          <w:sz w:val="24"/>
          <w:szCs w:val="24"/>
        </w:rPr>
      </w:pPr>
      <w:proofErr w:type="spellStart"/>
      <w:r w:rsidRPr="00B14ED8">
        <w:rPr>
          <w:rFonts w:ascii="Times New Roman" w:eastAsia="Times New Roman" w:hAnsi="Times New Roman" w:cs="Times New Roman"/>
          <w:sz w:val="24"/>
          <w:szCs w:val="24"/>
        </w:rPr>
        <w:t>Berdasarkan</w:t>
      </w:r>
      <w:proofErr w:type="spellEnd"/>
      <w:r w:rsidRPr="00B14ED8">
        <w:rPr>
          <w:rFonts w:ascii="Times New Roman" w:eastAsia="Times New Roman" w:hAnsi="Times New Roman" w:cs="Times New Roman"/>
          <w:sz w:val="24"/>
          <w:szCs w:val="24"/>
        </w:rPr>
        <w:t xml:space="preserve"> pada</w:t>
      </w:r>
      <w:r w:rsidR="00241D42" w:rsidRPr="00B14ED8">
        <w:rPr>
          <w:rFonts w:ascii="Times New Roman" w:eastAsia="Times New Roman" w:hAnsi="Times New Roman" w:cs="Times New Roman"/>
          <w:sz w:val="24"/>
          <w:szCs w:val="24"/>
        </w:rPr>
        <w:t xml:space="preserve"> </w:t>
      </w:r>
      <w:proofErr w:type="spellStart"/>
      <w:r w:rsidR="00241D42" w:rsidRPr="00B14ED8">
        <w:rPr>
          <w:rFonts w:ascii="Times New Roman" w:eastAsia="Times New Roman" w:hAnsi="Times New Roman" w:cs="Times New Roman"/>
          <w:sz w:val="24"/>
          <w:szCs w:val="24"/>
        </w:rPr>
        <w:t>nilai</w:t>
      </w:r>
      <w:proofErr w:type="spellEnd"/>
      <w:r w:rsidR="00241D42" w:rsidRPr="00B14ED8">
        <w:rPr>
          <w:rFonts w:ascii="Times New Roman" w:eastAsia="Times New Roman" w:hAnsi="Times New Roman" w:cs="Times New Roman"/>
          <w:sz w:val="24"/>
          <w:szCs w:val="24"/>
        </w:rPr>
        <w:t xml:space="preserve"> </w:t>
      </w:r>
      <w:proofErr w:type="spellStart"/>
      <w:r w:rsidR="00241D42" w:rsidRPr="00B14ED8">
        <w:rPr>
          <w:rFonts w:ascii="Times New Roman" w:eastAsia="Times New Roman" w:hAnsi="Times New Roman" w:cs="Times New Roman"/>
          <w:sz w:val="24"/>
          <w:szCs w:val="24"/>
        </w:rPr>
        <w:t>koefisien</w:t>
      </w:r>
      <w:proofErr w:type="spellEnd"/>
      <w:r w:rsidR="00241D42" w:rsidRPr="00B14ED8">
        <w:rPr>
          <w:rFonts w:ascii="Times New Roman" w:eastAsia="Times New Roman" w:hAnsi="Times New Roman" w:cs="Times New Roman"/>
          <w:sz w:val="24"/>
          <w:szCs w:val="24"/>
        </w:rPr>
        <w:t xml:space="preserve"> </w:t>
      </w:r>
      <w:proofErr w:type="spellStart"/>
      <w:r w:rsidR="00241D42" w:rsidRPr="00B14ED8">
        <w:rPr>
          <w:rFonts w:ascii="Times New Roman" w:eastAsia="Times New Roman" w:hAnsi="Times New Roman" w:cs="Times New Roman"/>
          <w:sz w:val="24"/>
          <w:szCs w:val="24"/>
        </w:rPr>
        <w:t>serta</w:t>
      </w:r>
      <w:proofErr w:type="spellEnd"/>
      <w:r w:rsidR="00241D42" w:rsidRPr="00B14ED8">
        <w:rPr>
          <w:rFonts w:ascii="Times New Roman" w:eastAsia="Times New Roman" w:hAnsi="Times New Roman" w:cs="Times New Roman"/>
          <w:sz w:val="24"/>
          <w:szCs w:val="24"/>
        </w:rPr>
        <w:t xml:space="preserve"> </w:t>
      </w:r>
      <w:proofErr w:type="spellStart"/>
      <w:r w:rsidR="00241D42" w:rsidRPr="00B14ED8">
        <w:rPr>
          <w:rFonts w:ascii="Times New Roman" w:eastAsia="Times New Roman" w:hAnsi="Times New Roman" w:cs="Times New Roman"/>
          <w:sz w:val="24"/>
          <w:szCs w:val="24"/>
        </w:rPr>
        <w:t>probabilitas</w:t>
      </w:r>
      <w:proofErr w:type="spellEnd"/>
      <w:r w:rsidR="00241D42" w:rsidRPr="00B14ED8">
        <w:rPr>
          <w:rFonts w:ascii="Times New Roman" w:eastAsia="Times New Roman" w:hAnsi="Times New Roman" w:cs="Times New Roman"/>
          <w:sz w:val="24"/>
          <w:szCs w:val="24"/>
        </w:rPr>
        <w:t xml:space="preserve"> (</w:t>
      </w:r>
      <w:r w:rsidR="00241D42" w:rsidRPr="00B14ED8">
        <w:rPr>
          <w:rFonts w:ascii="Times New Roman" w:eastAsia="Times New Roman" w:hAnsi="Times New Roman" w:cs="Times New Roman"/>
          <w:i/>
          <w:iCs/>
          <w:sz w:val="24"/>
          <w:szCs w:val="24"/>
        </w:rPr>
        <w:t>p-value</w:t>
      </w:r>
      <w:r w:rsidR="00241D42"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hasil</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analisis</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regresi</w:t>
      </w:r>
      <w:proofErr w:type="spellEnd"/>
      <w:r w:rsidRPr="00B14ED8">
        <w:rPr>
          <w:rFonts w:ascii="Times New Roman" w:eastAsia="Times New Roman" w:hAnsi="Times New Roman" w:cs="Times New Roman"/>
          <w:sz w:val="24"/>
          <w:szCs w:val="24"/>
        </w:rPr>
        <w:t xml:space="preserve"> data panel, </w:t>
      </w:r>
      <w:proofErr w:type="spellStart"/>
      <w:r w:rsidRPr="00B14ED8">
        <w:rPr>
          <w:rFonts w:ascii="Times New Roman" w:eastAsia="Times New Roman" w:hAnsi="Times New Roman" w:cs="Times New Roman"/>
          <w:sz w:val="24"/>
          <w:szCs w:val="24"/>
        </w:rPr>
        <w:t>diperoleh</w:t>
      </w:r>
      <w:proofErr w:type="spellEnd"/>
      <w:r w:rsidRPr="00B14ED8">
        <w:rPr>
          <w:rFonts w:ascii="Times New Roman" w:eastAsia="Times New Roman" w:hAnsi="Times New Roman" w:cs="Times New Roman"/>
          <w:sz w:val="24"/>
          <w:szCs w:val="24"/>
        </w:rPr>
        <w:t xml:space="preserve"> </w:t>
      </w:r>
      <w:proofErr w:type="spellStart"/>
      <w:r w:rsidR="00241D42" w:rsidRPr="00B14ED8">
        <w:rPr>
          <w:rFonts w:ascii="Times New Roman" w:eastAsia="Times New Roman" w:hAnsi="Times New Roman" w:cs="Times New Roman"/>
          <w:sz w:val="24"/>
          <w:szCs w:val="24"/>
        </w:rPr>
        <w:t>hasil</w:t>
      </w:r>
      <w:proofErr w:type="spellEnd"/>
      <w:r w:rsidR="00241D42" w:rsidRPr="00B14ED8">
        <w:rPr>
          <w:rFonts w:ascii="Times New Roman" w:eastAsia="Times New Roman" w:hAnsi="Times New Roman" w:cs="Times New Roman"/>
          <w:sz w:val="24"/>
          <w:szCs w:val="24"/>
        </w:rPr>
        <w:t xml:space="preserve"> </w:t>
      </w:r>
      <w:r w:rsidR="00285C84" w:rsidRPr="00B14ED8">
        <w:rPr>
          <w:rFonts w:ascii="Times New Roman" w:eastAsia="Times New Roman" w:hAnsi="Times New Roman" w:cs="Times New Roman"/>
          <w:sz w:val="24"/>
          <w:szCs w:val="24"/>
        </w:rPr>
        <w:t xml:space="preserve">uji </w:t>
      </w:r>
      <w:proofErr w:type="spellStart"/>
      <w:r w:rsidR="00285C84" w:rsidRPr="00B14ED8">
        <w:rPr>
          <w:rFonts w:ascii="Times New Roman" w:eastAsia="Times New Roman" w:hAnsi="Times New Roman" w:cs="Times New Roman"/>
          <w:sz w:val="24"/>
          <w:szCs w:val="24"/>
        </w:rPr>
        <w:t>hipotesis</w:t>
      </w:r>
      <w:proofErr w:type="spellEnd"/>
      <w:r w:rsidR="00285C84" w:rsidRPr="00B14ED8">
        <w:rPr>
          <w:rFonts w:ascii="Times New Roman" w:eastAsia="Times New Roman" w:hAnsi="Times New Roman" w:cs="Times New Roman"/>
          <w:sz w:val="24"/>
          <w:szCs w:val="24"/>
        </w:rPr>
        <w:t xml:space="preserve"> </w:t>
      </w:r>
      <w:proofErr w:type="spellStart"/>
      <w:r w:rsidR="00285C84" w:rsidRPr="00B14ED8">
        <w:rPr>
          <w:rFonts w:ascii="Times New Roman" w:eastAsia="Times New Roman" w:hAnsi="Times New Roman" w:cs="Times New Roman"/>
          <w:sz w:val="24"/>
          <w:szCs w:val="24"/>
        </w:rPr>
        <w:t>sebagai</w:t>
      </w:r>
      <w:proofErr w:type="spellEnd"/>
      <w:r w:rsidR="00285C84" w:rsidRPr="00B14ED8">
        <w:rPr>
          <w:rFonts w:ascii="Times New Roman" w:eastAsia="Times New Roman" w:hAnsi="Times New Roman" w:cs="Times New Roman"/>
          <w:sz w:val="24"/>
          <w:szCs w:val="24"/>
        </w:rPr>
        <w:t xml:space="preserve"> </w:t>
      </w:r>
      <w:proofErr w:type="spellStart"/>
      <w:r w:rsidR="00285C84" w:rsidRPr="00B14ED8">
        <w:rPr>
          <w:rFonts w:ascii="Times New Roman" w:eastAsia="Times New Roman" w:hAnsi="Times New Roman" w:cs="Times New Roman"/>
          <w:sz w:val="24"/>
          <w:szCs w:val="24"/>
        </w:rPr>
        <w:t>berikut</w:t>
      </w:r>
      <w:proofErr w:type="spellEnd"/>
      <w:r w:rsidR="00285C84" w:rsidRPr="00B14ED8">
        <w:rPr>
          <w:rFonts w:ascii="Times New Roman" w:eastAsia="Times New Roman" w:hAnsi="Times New Roman" w:cs="Times New Roman"/>
          <w:sz w:val="24"/>
          <w:szCs w:val="24"/>
        </w:rPr>
        <w:t>:</w:t>
      </w:r>
    </w:p>
    <w:p w14:paraId="16F94E1A" w14:textId="331D2B3B" w:rsidR="000D2B70" w:rsidRPr="00B14ED8" w:rsidRDefault="000D2B70" w:rsidP="00B14ED8">
      <w:pPr>
        <w:pStyle w:val="Caption"/>
        <w:keepNext/>
        <w:spacing w:after="0" w:line="360" w:lineRule="auto"/>
        <w:jc w:val="center"/>
        <w:rPr>
          <w:rFonts w:ascii="Times New Roman" w:hAnsi="Times New Roman" w:cs="Times New Roman"/>
          <w:i w:val="0"/>
          <w:iCs w:val="0"/>
          <w:color w:val="000000" w:themeColor="text1"/>
          <w:sz w:val="24"/>
          <w:szCs w:val="24"/>
        </w:rPr>
      </w:pPr>
      <w:proofErr w:type="spellStart"/>
      <w:r w:rsidRPr="00B14ED8">
        <w:rPr>
          <w:rFonts w:ascii="Times New Roman" w:hAnsi="Times New Roman" w:cs="Times New Roman"/>
          <w:b/>
          <w:bCs/>
          <w:i w:val="0"/>
          <w:iCs w:val="0"/>
          <w:color w:val="000000" w:themeColor="text1"/>
          <w:sz w:val="24"/>
          <w:szCs w:val="24"/>
        </w:rPr>
        <w:t>Tabel</w:t>
      </w:r>
      <w:proofErr w:type="spellEnd"/>
      <w:r w:rsidRPr="00B14ED8">
        <w:rPr>
          <w:rFonts w:ascii="Times New Roman" w:hAnsi="Times New Roman" w:cs="Times New Roman"/>
          <w:b/>
          <w:bCs/>
          <w:i w:val="0"/>
          <w:iCs w:val="0"/>
          <w:color w:val="000000" w:themeColor="text1"/>
          <w:sz w:val="24"/>
          <w:szCs w:val="24"/>
        </w:rPr>
        <w:t xml:space="preserve">  </w:t>
      </w:r>
      <w:r w:rsidRPr="00B14ED8">
        <w:rPr>
          <w:rFonts w:ascii="Times New Roman" w:hAnsi="Times New Roman" w:cs="Times New Roman"/>
          <w:b/>
          <w:bCs/>
          <w:i w:val="0"/>
          <w:iCs w:val="0"/>
          <w:color w:val="000000" w:themeColor="text1"/>
          <w:sz w:val="24"/>
          <w:szCs w:val="24"/>
        </w:rPr>
        <w:fldChar w:fldCharType="begin"/>
      </w:r>
      <w:r w:rsidRPr="00B14ED8">
        <w:rPr>
          <w:rFonts w:ascii="Times New Roman" w:hAnsi="Times New Roman" w:cs="Times New Roman"/>
          <w:b/>
          <w:bCs/>
          <w:i w:val="0"/>
          <w:iCs w:val="0"/>
          <w:color w:val="000000" w:themeColor="text1"/>
          <w:sz w:val="24"/>
          <w:szCs w:val="24"/>
        </w:rPr>
        <w:instrText xml:space="preserve"> SEQ Tabel_ \* ARABIC </w:instrText>
      </w:r>
      <w:r w:rsidRPr="00B14ED8">
        <w:rPr>
          <w:rFonts w:ascii="Times New Roman" w:hAnsi="Times New Roman" w:cs="Times New Roman"/>
          <w:b/>
          <w:bCs/>
          <w:i w:val="0"/>
          <w:iCs w:val="0"/>
          <w:color w:val="000000" w:themeColor="text1"/>
          <w:sz w:val="24"/>
          <w:szCs w:val="24"/>
        </w:rPr>
        <w:fldChar w:fldCharType="separate"/>
      </w:r>
      <w:r w:rsidR="00483C81" w:rsidRPr="00B14ED8">
        <w:rPr>
          <w:rFonts w:ascii="Times New Roman" w:hAnsi="Times New Roman" w:cs="Times New Roman"/>
          <w:b/>
          <w:bCs/>
          <w:i w:val="0"/>
          <w:iCs w:val="0"/>
          <w:noProof/>
          <w:color w:val="000000" w:themeColor="text1"/>
          <w:sz w:val="24"/>
          <w:szCs w:val="24"/>
        </w:rPr>
        <w:t>3</w:t>
      </w:r>
      <w:r w:rsidRPr="00B14ED8">
        <w:rPr>
          <w:rFonts w:ascii="Times New Roman" w:hAnsi="Times New Roman" w:cs="Times New Roman"/>
          <w:b/>
          <w:bCs/>
          <w:i w:val="0"/>
          <w:iCs w:val="0"/>
          <w:color w:val="000000" w:themeColor="text1"/>
          <w:sz w:val="24"/>
          <w:szCs w:val="24"/>
        </w:rPr>
        <w:fldChar w:fldCharType="end"/>
      </w:r>
      <w:r w:rsidRPr="00B14ED8">
        <w:rPr>
          <w:rFonts w:ascii="Times New Roman" w:hAnsi="Times New Roman" w:cs="Times New Roman"/>
          <w:b/>
          <w:bCs/>
          <w:i w:val="0"/>
          <w:iCs w:val="0"/>
          <w:color w:val="000000" w:themeColor="text1"/>
          <w:sz w:val="24"/>
          <w:szCs w:val="24"/>
        </w:rPr>
        <w:t xml:space="preserve">. </w:t>
      </w:r>
      <w:r w:rsidRPr="00B14ED8">
        <w:rPr>
          <w:rFonts w:ascii="Times New Roman" w:hAnsi="Times New Roman" w:cs="Times New Roman"/>
          <w:i w:val="0"/>
          <w:iCs w:val="0"/>
          <w:color w:val="000000" w:themeColor="text1"/>
          <w:sz w:val="24"/>
          <w:szCs w:val="24"/>
        </w:rPr>
        <w:t xml:space="preserve">Hasil </w:t>
      </w:r>
      <w:proofErr w:type="spellStart"/>
      <w:r w:rsidRPr="00B14ED8">
        <w:rPr>
          <w:rFonts w:ascii="Times New Roman" w:hAnsi="Times New Roman" w:cs="Times New Roman"/>
          <w:i w:val="0"/>
          <w:iCs w:val="0"/>
          <w:color w:val="000000" w:themeColor="text1"/>
          <w:sz w:val="24"/>
          <w:szCs w:val="24"/>
        </w:rPr>
        <w:t>Analisis</w:t>
      </w:r>
      <w:proofErr w:type="spellEnd"/>
      <w:r w:rsidRPr="00B14ED8">
        <w:rPr>
          <w:rFonts w:ascii="Times New Roman" w:hAnsi="Times New Roman" w:cs="Times New Roman"/>
          <w:i w:val="0"/>
          <w:iCs w:val="0"/>
          <w:color w:val="000000" w:themeColor="text1"/>
          <w:sz w:val="24"/>
          <w:szCs w:val="24"/>
        </w:rPr>
        <w:t xml:space="preserve"> </w:t>
      </w:r>
      <w:r w:rsidR="004E5ABF" w:rsidRPr="00B14ED8">
        <w:rPr>
          <w:rFonts w:ascii="Times New Roman" w:hAnsi="Times New Roman" w:cs="Times New Roman"/>
          <w:i w:val="0"/>
          <w:iCs w:val="0"/>
          <w:color w:val="000000" w:themeColor="text1"/>
          <w:sz w:val="24"/>
          <w:szCs w:val="24"/>
        </w:rPr>
        <w:t xml:space="preserve">Uji </w:t>
      </w:r>
      <w:proofErr w:type="spellStart"/>
      <w:r w:rsidR="004E5ABF" w:rsidRPr="00B14ED8">
        <w:rPr>
          <w:rFonts w:ascii="Times New Roman" w:hAnsi="Times New Roman" w:cs="Times New Roman"/>
          <w:i w:val="0"/>
          <w:iCs w:val="0"/>
          <w:color w:val="000000" w:themeColor="text1"/>
          <w:sz w:val="24"/>
          <w:szCs w:val="24"/>
        </w:rPr>
        <w:t>Hipotesis</w:t>
      </w:r>
      <w:proofErr w:type="spellEnd"/>
    </w:p>
    <w:tbl>
      <w:tblPr>
        <w:tblW w:w="5025" w:type="pct"/>
        <w:tblCellMar>
          <w:left w:w="0" w:type="dxa"/>
          <w:right w:w="0" w:type="dxa"/>
        </w:tblCellMar>
        <w:tblLook w:val="0000" w:firstRow="0" w:lastRow="0" w:firstColumn="0" w:lastColumn="0" w:noHBand="0" w:noVBand="0"/>
      </w:tblPr>
      <w:tblGrid>
        <w:gridCol w:w="5530"/>
        <w:gridCol w:w="1577"/>
        <w:gridCol w:w="787"/>
        <w:gridCol w:w="1178"/>
      </w:tblGrid>
      <w:tr w:rsidR="002D3480" w:rsidRPr="00B14ED8" w14:paraId="28B4254D" w14:textId="79D3E4CC" w:rsidTr="00B539B3">
        <w:trPr>
          <w:trHeight w:val="225"/>
        </w:trPr>
        <w:tc>
          <w:tcPr>
            <w:tcW w:w="3048" w:type="pct"/>
            <w:tcBorders>
              <w:top w:val="single" w:sz="4" w:space="0" w:color="auto"/>
            </w:tcBorders>
            <w:vAlign w:val="center"/>
          </w:tcPr>
          <w:p w14:paraId="4838A2C3" w14:textId="15C1C098" w:rsidR="002D3480" w:rsidRPr="00B14ED8" w:rsidRDefault="002D3480" w:rsidP="00B14ED8">
            <w:pPr>
              <w:autoSpaceDE w:val="0"/>
              <w:autoSpaceDN w:val="0"/>
              <w:adjustRightInd w:val="0"/>
              <w:spacing w:after="0" w:line="360" w:lineRule="auto"/>
              <w:rPr>
                <w:rFonts w:ascii="Times New Roman" w:hAnsi="Times New Roman" w:cs="Times New Roman"/>
                <w:color w:val="000000"/>
                <w:sz w:val="20"/>
                <w:szCs w:val="20"/>
              </w:rPr>
            </w:pPr>
            <w:proofErr w:type="spellStart"/>
            <w:r w:rsidRPr="00B14ED8">
              <w:rPr>
                <w:rFonts w:ascii="Times New Roman" w:hAnsi="Times New Roman" w:cs="Times New Roman"/>
                <w:color w:val="000000"/>
                <w:sz w:val="20"/>
                <w:szCs w:val="20"/>
              </w:rPr>
              <w:t>Hipotesis</w:t>
            </w:r>
            <w:proofErr w:type="spellEnd"/>
          </w:p>
        </w:tc>
        <w:tc>
          <w:tcPr>
            <w:tcW w:w="869" w:type="pct"/>
            <w:tcBorders>
              <w:top w:val="single" w:sz="4" w:space="0" w:color="auto"/>
            </w:tcBorders>
            <w:vAlign w:val="center"/>
          </w:tcPr>
          <w:p w14:paraId="3FC8EF3A" w14:textId="54CBAF6A" w:rsidR="002D3480" w:rsidRPr="00B14ED8" w:rsidRDefault="002D3480"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Coefficient</w:t>
            </w:r>
          </w:p>
        </w:tc>
        <w:tc>
          <w:tcPr>
            <w:tcW w:w="434" w:type="pct"/>
            <w:tcBorders>
              <w:top w:val="single" w:sz="4" w:space="0" w:color="auto"/>
            </w:tcBorders>
            <w:vAlign w:val="center"/>
          </w:tcPr>
          <w:p w14:paraId="398E71E5" w14:textId="0CC8D97D" w:rsidR="002D3480" w:rsidRPr="00B14ED8" w:rsidRDefault="002D3480"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P-Value</w:t>
            </w:r>
          </w:p>
        </w:tc>
        <w:tc>
          <w:tcPr>
            <w:tcW w:w="649" w:type="pct"/>
            <w:tcBorders>
              <w:top w:val="single" w:sz="4" w:space="0" w:color="auto"/>
            </w:tcBorders>
          </w:tcPr>
          <w:p w14:paraId="5AB9DCED" w14:textId="77777777" w:rsidR="00B539B3" w:rsidRPr="00B14ED8" w:rsidRDefault="002D3480" w:rsidP="00B14ED8">
            <w:pPr>
              <w:autoSpaceDE w:val="0"/>
              <w:autoSpaceDN w:val="0"/>
              <w:adjustRightInd w:val="0"/>
              <w:spacing w:after="0" w:line="360" w:lineRule="auto"/>
              <w:ind w:right="10"/>
              <w:jc w:val="center"/>
              <w:rPr>
                <w:rFonts w:ascii="Times New Roman" w:hAnsi="Times New Roman" w:cs="Times New Roman"/>
                <w:color w:val="000000"/>
                <w:sz w:val="20"/>
                <w:szCs w:val="20"/>
              </w:rPr>
            </w:pPr>
            <w:r w:rsidRPr="00B14ED8">
              <w:rPr>
                <w:rFonts w:ascii="Times New Roman" w:hAnsi="Times New Roman" w:cs="Times New Roman"/>
                <w:color w:val="000000"/>
                <w:sz w:val="20"/>
                <w:szCs w:val="20"/>
              </w:rPr>
              <w:t xml:space="preserve">Hasil </w:t>
            </w:r>
          </w:p>
          <w:p w14:paraId="50FD6304" w14:textId="63AC0E9F" w:rsidR="002D3480" w:rsidRPr="00B14ED8" w:rsidRDefault="002D3480" w:rsidP="00B14ED8">
            <w:pPr>
              <w:autoSpaceDE w:val="0"/>
              <w:autoSpaceDN w:val="0"/>
              <w:adjustRightInd w:val="0"/>
              <w:spacing w:after="0" w:line="360" w:lineRule="auto"/>
              <w:ind w:right="10"/>
              <w:jc w:val="center"/>
              <w:rPr>
                <w:rFonts w:ascii="Times New Roman" w:hAnsi="Times New Roman" w:cs="Times New Roman"/>
                <w:color w:val="000000"/>
                <w:sz w:val="20"/>
                <w:szCs w:val="20"/>
              </w:rPr>
            </w:pPr>
            <w:r w:rsidRPr="00B14ED8">
              <w:rPr>
                <w:rFonts w:ascii="Times New Roman" w:hAnsi="Times New Roman" w:cs="Times New Roman"/>
                <w:color w:val="000000"/>
                <w:sz w:val="20"/>
                <w:szCs w:val="20"/>
              </w:rPr>
              <w:t xml:space="preserve">Uji </w:t>
            </w:r>
            <w:proofErr w:type="spellStart"/>
            <w:r w:rsidRPr="00B14ED8">
              <w:rPr>
                <w:rFonts w:ascii="Times New Roman" w:hAnsi="Times New Roman" w:cs="Times New Roman"/>
                <w:color w:val="000000"/>
                <w:sz w:val="20"/>
                <w:szCs w:val="20"/>
              </w:rPr>
              <w:t>Hipotesis</w:t>
            </w:r>
            <w:proofErr w:type="spellEnd"/>
          </w:p>
        </w:tc>
      </w:tr>
      <w:tr w:rsidR="002D3480" w:rsidRPr="00B14ED8" w14:paraId="06315FA9" w14:textId="23CC6280" w:rsidTr="00B539B3">
        <w:trPr>
          <w:trHeight w:val="225"/>
        </w:trPr>
        <w:tc>
          <w:tcPr>
            <w:tcW w:w="3048" w:type="pct"/>
            <w:tcBorders>
              <w:top w:val="single" w:sz="4" w:space="0" w:color="auto"/>
            </w:tcBorders>
            <w:vAlign w:val="center"/>
          </w:tcPr>
          <w:p w14:paraId="08ED6D54" w14:textId="25EFD223" w:rsidR="002D3480" w:rsidRPr="00B14ED8" w:rsidRDefault="00B539B3" w:rsidP="00B14ED8">
            <w:pPr>
              <w:autoSpaceDE w:val="0"/>
              <w:autoSpaceDN w:val="0"/>
              <w:adjustRightInd w:val="0"/>
              <w:spacing w:after="0" w:line="360" w:lineRule="auto"/>
              <w:rPr>
                <w:rFonts w:ascii="Times New Roman" w:hAnsi="Times New Roman" w:cs="Times New Roman"/>
                <w:color w:val="000000"/>
                <w:sz w:val="20"/>
                <w:szCs w:val="20"/>
              </w:rPr>
            </w:pPr>
            <w:r w:rsidRPr="00B14ED8">
              <w:rPr>
                <w:rFonts w:ascii="Times New Roman" w:hAnsi="Times New Roman" w:cs="Times New Roman"/>
                <w:noProof/>
                <w:color w:val="000000"/>
                <w:sz w:val="20"/>
                <w:szCs w:val="20"/>
              </w:rPr>
              <mc:AlternateContent>
                <mc:Choice Requires="wps">
                  <w:drawing>
                    <wp:anchor distT="0" distB="0" distL="114300" distR="114300" simplePos="0" relativeHeight="251673600" behindDoc="0" locked="0" layoutInCell="1" allowOverlap="1" wp14:anchorId="101805B5" wp14:editId="25727512">
                      <wp:simplePos x="0" y="0"/>
                      <wp:positionH relativeFrom="column">
                        <wp:posOffset>920706</wp:posOffset>
                      </wp:positionH>
                      <wp:positionV relativeFrom="paragraph">
                        <wp:posOffset>78368</wp:posOffset>
                      </wp:positionV>
                      <wp:extent cx="409904" cy="0"/>
                      <wp:effectExtent l="0" t="76200" r="9525" b="95250"/>
                      <wp:wrapNone/>
                      <wp:docPr id="1799912445" name="Straight Arrow Connector 1"/>
                      <wp:cNvGraphicFramePr/>
                      <a:graphic xmlns:a="http://schemas.openxmlformats.org/drawingml/2006/main">
                        <a:graphicData uri="http://schemas.microsoft.com/office/word/2010/wordprocessingShape">
                          <wps:wsp>
                            <wps:cNvCnPr/>
                            <wps:spPr>
                              <a:xfrm>
                                <a:off x="0" y="0"/>
                                <a:ext cx="40990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shapetype w14:anchorId="08B4D572" id="_x0000_t32" coordsize="21600,21600" o:spt="32" o:oned="t" path="m,l21600,21600e" filled="f">
                      <v:path arrowok="t" fillok="f" o:connecttype="none"/>
                      <o:lock v:ext="edit" shapetype="t"/>
                    </v:shapetype>
                    <v:shape id="Straight Arrow Connector 1" o:spid="_x0000_s1026" type="#_x0000_t32" style="position:absolute;margin-left:72.5pt;margin-top:6.15pt;width:32.3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" strokecolor="black [3213]" strokeweight=".5pt">
                      <v:stroke endarrow="block" joinstyle="miter"/>
                    </v:shape>
                  </w:pict>
                </mc:Fallback>
              </mc:AlternateContent>
            </w:r>
            <w:r w:rsidR="002D3480" w:rsidRPr="00B14ED8">
              <w:rPr>
                <w:rFonts w:ascii="Times New Roman" w:hAnsi="Times New Roman" w:cs="Times New Roman"/>
                <w:color w:val="000000"/>
                <w:sz w:val="20"/>
                <w:szCs w:val="20"/>
              </w:rPr>
              <w:t xml:space="preserve">H1: </w:t>
            </w:r>
            <w:proofErr w:type="spellStart"/>
            <w:r w:rsidR="002D3480" w:rsidRPr="00B14ED8">
              <w:rPr>
                <w:rFonts w:ascii="Times New Roman" w:hAnsi="Times New Roman" w:cs="Times New Roman"/>
                <w:color w:val="000000"/>
                <w:sz w:val="20"/>
                <w:szCs w:val="20"/>
              </w:rPr>
              <w:t>Mudharabah</w:t>
            </w:r>
            <w:proofErr w:type="spellEnd"/>
            <w:r w:rsidRPr="00B14ED8">
              <w:rPr>
                <w:rFonts w:ascii="Times New Roman" w:hAnsi="Times New Roman" w:cs="Times New Roman"/>
                <w:color w:val="000000"/>
                <w:sz w:val="20"/>
                <w:szCs w:val="20"/>
              </w:rPr>
              <w:t xml:space="preserve">                </w:t>
            </w:r>
            <w:proofErr w:type="spellStart"/>
            <w:r w:rsidRPr="00B14ED8">
              <w:rPr>
                <w:rFonts w:ascii="Times New Roman" w:hAnsi="Times New Roman" w:cs="Times New Roman"/>
                <w:color w:val="000000"/>
                <w:sz w:val="20"/>
                <w:szCs w:val="20"/>
              </w:rPr>
              <w:t>Kinerja</w:t>
            </w:r>
            <w:proofErr w:type="spellEnd"/>
            <w:r w:rsidRPr="00B14ED8">
              <w:rPr>
                <w:rFonts w:ascii="Times New Roman" w:hAnsi="Times New Roman" w:cs="Times New Roman"/>
                <w:color w:val="000000"/>
                <w:sz w:val="20"/>
                <w:szCs w:val="20"/>
              </w:rPr>
              <w:t xml:space="preserve"> </w:t>
            </w:r>
            <w:proofErr w:type="spellStart"/>
            <w:r w:rsidRPr="00B14ED8">
              <w:rPr>
                <w:rFonts w:ascii="Times New Roman" w:hAnsi="Times New Roman" w:cs="Times New Roman"/>
                <w:color w:val="000000"/>
                <w:sz w:val="20"/>
                <w:szCs w:val="20"/>
              </w:rPr>
              <w:t>Keuangan</w:t>
            </w:r>
            <w:proofErr w:type="spellEnd"/>
            <w:r w:rsidRPr="00B14ED8">
              <w:rPr>
                <w:rFonts w:ascii="Times New Roman" w:hAnsi="Times New Roman" w:cs="Times New Roman"/>
                <w:color w:val="000000"/>
                <w:sz w:val="20"/>
                <w:szCs w:val="20"/>
              </w:rPr>
              <w:t xml:space="preserve"> </w:t>
            </w:r>
          </w:p>
        </w:tc>
        <w:tc>
          <w:tcPr>
            <w:tcW w:w="869" w:type="pct"/>
            <w:tcBorders>
              <w:top w:val="single" w:sz="4" w:space="0" w:color="auto"/>
            </w:tcBorders>
            <w:vAlign w:val="center"/>
          </w:tcPr>
          <w:p w14:paraId="1787D6EE" w14:textId="77777777" w:rsidR="002D3480" w:rsidRPr="00B14ED8" w:rsidRDefault="002D3480"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 xml:space="preserve"> 2.469609</w:t>
            </w:r>
          </w:p>
        </w:tc>
        <w:tc>
          <w:tcPr>
            <w:tcW w:w="434" w:type="pct"/>
            <w:tcBorders>
              <w:top w:val="single" w:sz="4" w:space="0" w:color="auto"/>
            </w:tcBorders>
            <w:vAlign w:val="center"/>
          </w:tcPr>
          <w:p w14:paraId="6186A9EA" w14:textId="77777777" w:rsidR="002D3480" w:rsidRPr="00B14ED8" w:rsidRDefault="002D3480"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0.0043</w:t>
            </w:r>
          </w:p>
        </w:tc>
        <w:tc>
          <w:tcPr>
            <w:tcW w:w="649" w:type="pct"/>
            <w:tcBorders>
              <w:top w:val="single" w:sz="4" w:space="0" w:color="auto"/>
            </w:tcBorders>
          </w:tcPr>
          <w:p w14:paraId="72EB9E5D" w14:textId="2D7EC3A9" w:rsidR="002D3480" w:rsidRPr="00B14ED8" w:rsidRDefault="00BB74ED"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 xml:space="preserve">H1 </w:t>
            </w:r>
            <w:proofErr w:type="spellStart"/>
            <w:r w:rsidRPr="00B14ED8">
              <w:rPr>
                <w:rFonts w:ascii="Times New Roman" w:hAnsi="Times New Roman" w:cs="Times New Roman"/>
                <w:color w:val="000000"/>
                <w:sz w:val="20"/>
                <w:szCs w:val="20"/>
              </w:rPr>
              <w:t>Diterima</w:t>
            </w:r>
            <w:proofErr w:type="spellEnd"/>
          </w:p>
        </w:tc>
      </w:tr>
      <w:tr w:rsidR="002D3480" w:rsidRPr="00B14ED8" w14:paraId="315B8507" w14:textId="54275C21" w:rsidTr="00B539B3">
        <w:trPr>
          <w:trHeight w:val="225"/>
        </w:trPr>
        <w:tc>
          <w:tcPr>
            <w:tcW w:w="3048" w:type="pct"/>
            <w:vAlign w:val="center"/>
          </w:tcPr>
          <w:p w14:paraId="2F2F8E38" w14:textId="73BD0972" w:rsidR="002D3480" w:rsidRPr="00B14ED8" w:rsidRDefault="00B539B3" w:rsidP="00B14ED8">
            <w:pPr>
              <w:autoSpaceDE w:val="0"/>
              <w:autoSpaceDN w:val="0"/>
              <w:adjustRightInd w:val="0"/>
              <w:spacing w:after="0" w:line="360" w:lineRule="auto"/>
              <w:rPr>
                <w:rFonts w:ascii="Times New Roman" w:hAnsi="Times New Roman" w:cs="Times New Roman"/>
                <w:color w:val="000000"/>
                <w:sz w:val="20"/>
                <w:szCs w:val="20"/>
              </w:rPr>
            </w:pPr>
            <w:r w:rsidRPr="00B14ED8">
              <w:rPr>
                <w:rFonts w:ascii="Times New Roman" w:hAnsi="Times New Roman" w:cs="Times New Roman"/>
                <w:noProof/>
                <w:color w:val="000000"/>
                <w:sz w:val="20"/>
                <w:szCs w:val="20"/>
              </w:rPr>
              <mc:AlternateContent>
                <mc:Choice Requires="wps">
                  <w:drawing>
                    <wp:anchor distT="0" distB="0" distL="114300" distR="114300" simplePos="0" relativeHeight="251675648" behindDoc="0" locked="0" layoutInCell="1" allowOverlap="1" wp14:anchorId="5F4C6448" wp14:editId="12133338">
                      <wp:simplePos x="0" y="0"/>
                      <wp:positionH relativeFrom="column">
                        <wp:posOffset>920115</wp:posOffset>
                      </wp:positionH>
                      <wp:positionV relativeFrom="paragraph">
                        <wp:posOffset>84455</wp:posOffset>
                      </wp:positionV>
                      <wp:extent cx="409575" cy="0"/>
                      <wp:effectExtent l="0" t="76200" r="9525" b="95250"/>
                      <wp:wrapNone/>
                      <wp:docPr id="526694435" name="Straight Arrow Connector 1"/>
                      <wp:cNvGraphicFramePr/>
                      <a:graphic xmlns:a="http://schemas.openxmlformats.org/drawingml/2006/main">
                        <a:graphicData uri="http://schemas.microsoft.com/office/word/2010/wordprocessingShape">
                          <wps:wsp>
                            <wps:cNvCnPr/>
                            <wps:spPr>
                              <a:xfrm>
                                <a:off x="0" y="0"/>
                                <a:ext cx="4095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1B32E215" id="Straight Arrow Connector 1" o:spid="_x0000_s1026" type="#_x0000_t32" style="position:absolute;margin-left:72.45pt;margin-top:6.65pt;width:32.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" strokecolor="black [3213]" strokeweight=".5pt">
                      <v:stroke endarrow="block" joinstyle="miter"/>
                    </v:shape>
                  </w:pict>
                </mc:Fallback>
              </mc:AlternateContent>
            </w:r>
            <w:r w:rsidR="002D3480" w:rsidRPr="00B14ED8">
              <w:rPr>
                <w:rFonts w:ascii="Times New Roman" w:hAnsi="Times New Roman" w:cs="Times New Roman"/>
                <w:color w:val="000000"/>
                <w:sz w:val="20"/>
                <w:szCs w:val="20"/>
              </w:rPr>
              <w:t xml:space="preserve">H2: </w:t>
            </w:r>
            <w:proofErr w:type="spellStart"/>
            <w:r w:rsidR="002D3480" w:rsidRPr="00B14ED8">
              <w:rPr>
                <w:rFonts w:ascii="Times New Roman" w:hAnsi="Times New Roman" w:cs="Times New Roman"/>
                <w:color w:val="000000"/>
                <w:sz w:val="20"/>
                <w:szCs w:val="20"/>
              </w:rPr>
              <w:t>Musyarakah</w:t>
            </w:r>
            <w:proofErr w:type="spellEnd"/>
            <w:r w:rsidRPr="00B14ED8">
              <w:rPr>
                <w:rFonts w:ascii="Times New Roman" w:hAnsi="Times New Roman" w:cs="Times New Roman"/>
                <w:color w:val="000000"/>
                <w:sz w:val="20"/>
                <w:szCs w:val="20"/>
              </w:rPr>
              <w:t xml:space="preserve">                </w:t>
            </w:r>
            <w:proofErr w:type="spellStart"/>
            <w:r w:rsidRPr="00B14ED8">
              <w:rPr>
                <w:rFonts w:ascii="Times New Roman" w:hAnsi="Times New Roman" w:cs="Times New Roman"/>
                <w:color w:val="000000"/>
                <w:sz w:val="20"/>
                <w:szCs w:val="20"/>
              </w:rPr>
              <w:t>Kinerja</w:t>
            </w:r>
            <w:proofErr w:type="spellEnd"/>
            <w:r w:rsidRPr="00B14ED8">
              <w:rPr>
                <w:rFonts w:ascii="Times New Roman" w:hAnsi="Times New Roman" w:cs="Times New Roman"/>
                <w:color w:val="000000"/>
                <w:sz w:val="20"/>
                <w:szCs w:val="20"/>
              </w:rPr>
              <w:t xml:space="preserve"> </w:t>
            </w:r>
            <w:proofErr w:type="spellStart"/>
            <w:r w:rsidRPr="00B14ED8">
              <w:rPr>
                <w:rFonts w:ascii="Times New Roman" w:hAnsi="Times New Roman" w:cs="Times New Roman"/>
                <w:color w:val="000000"/>
                <w:sz w:val="20"/>
                <w:szCs w:val="20"/>
              </w:rPr>
              <w:t>Keuangan</w:t>
            </w:r>
            <w:proofErr w:type="spellEnd"/>
          </w:p>
        </w:tc>
        <w:tc>
          <w:tcPr>
            <w:tcW w:w="869" w:type="pct"/>
            <w:vAlign w:val="center"/>
          </w:tcPr>
          <w:p w14:paraId="4E6FBA2F" w14:textId="77777777" w:rsidR="002D3480" w:rsidRPr="00B14ED8" w:rsidRDefault="002D3480"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 xml:space="preserve"> 4.073080</w:t>
            </w:r>
          </w:p>
        </w:tc>
        <w:tc>
          <w:tcPr>
            <w:tcW w:w="434" w:type="pct"/>
            <w:vAlign w:val="center"/>
          </w:tcPr>
          <w:p w14:paraId="5A6D6228" w14:textId="77777777" w:rsidR="002D3480" w:rsidRPr="00B14ED8" w:rsidRDefault="002D3480"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0.0358</w:t>
            </w:r>
          </w:p>
        </w:tc>
        <w:tc>
          <w:tcPr>
            <w:tcW w:w="649" w:type="pct"/>
          </w:tcPr>
          <w:p w14:paraId="0506520E" w14:textId="2D86247E" w:rsidR="002D3480" w:rsidRPr="00B14ED8" w:rsidRDefault="00BB74ED"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 xml:space="preserve">H2 </w:t>
            </w:r>
            <w:proofErr w:type="spellStart"/>
            <w:r w:rsidRPr="00B14ED8">
              <w:rPr>
                <w:rFonts w:ascii="Times New Roman" w:hAnsi="Times New Roman" w:cs="Times New Roman"/>
                <w:color w:val="000000"/>
                <w:sz w:val="20"/>
                <w:szCs w:val="20"/>
              </w:rPr>
              <w:t>Diterima</w:t>
            </w:r>
            <w:proofErr w:type="spellEnd"/>
          </w:p>
        </w:tc>
      </w:tr>
      <w:tr w:rsidR="002D3480" w:rsidRPr="00B14ED8" w14:paraId="239D0ADE" w14:textId="5E86A46C" w:rsidTr="00B539B3">
        <w:trPr>
          <w:trHeight w:val="225"/>
        </w:trPr>
        <w:tc>
          <w:tcPr>
            <w:tcW w:w="3048" w:type="pct"/>
            <w:vAlign w:val="center"/>
          </w:tcPr>
          <w:p w14:paraId="077B1235" w14:textId="113AEC8D" w:rsidR="002D3480" w:rsidRPr="00B14ED8" w:rsidRDefault="00B539B3" w:rsidP="00B14ED8">
            <w:pPr>
              <w:autoSpaceDE w:val="0"/>
              <w:autoSpaceDN w:val="0"/>
              <w:adjustRightInd w:val="0"/>
              <w:spacing w:after="0" w:line="360" w:lineRule="auto"/>
              <w:rPr>
                <w:rFonts w:ascii="Times New Roman" w:hAnsi="Times New Roman" w:cs="Times New Roman"/>
                <w:color w:val="000000"/>
                <w:sz w:val="20"/>
                <w:szCs w:val="20"/>
              </w:rPr>
            </w:pPr>
            <w:r w:rsidRPr="00B14ED8">
              <w:rPr>
                <w:rFonts w:ascii="Times New Roman" w:hAnsi="Times New Roman" w:cs="Times New Roman"/>
                <w:noProof/>
                <w:color w:val="000000"/>
                <w:sz w:val="20"/>
                <w:szCs w:val="20"/>
              </w:rPr>
              <mc:AlternateContent>
                <mc:Choice Requires="wps">
                  <w:drawing>
                    <wp:anchor distT="0" distB="0" distL="114300" distR="114300" simplePos="0" relativeHeight="251677696" behindDoc="0" locked="0" layoutInCell="1" allowOverlap="1" wp14:anchorId="4BC310AD" wp14:editId="3E5EBFE1">
                      <wp:simplePos x="0" y="0"/>
                      <wp:positionH relativeFrom="column">
                        <wp:posOffset>1967230</wp:posOffset>
                      </wp:positionH>
                      <wp:positionV relativeFrom="paragraph">
                        <wp:posOffset>84455</wp:posOffset>
                      </wp:positionV>
                      <wp:extent cx="409575" cy="0"/>
                      <wp:effectExtent l="0" t="76200" r="9525" b="95250"/>
                      <wp:wrapNone/>
                      <wp:docPr id="1462869685" name="Straight Arrow Connector 1"/>
                      <wp:cNvGraphicFramePr/>
                      <a:graphic xmlns:a="http://schemas.openxmlformats.org/drawingml/2006/main">
                        <a:graphicData uri="http://schemas.microsoft.com/office/word/2010/wordprocessingShape">
                          <wps:wsp>
                            <wps:cNvCnPr/>
                            <wps:spPr>
                              <a:xfrm>
                                <a:off x="0" y="0"/>
                                <a:ext cx="4095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681452E3" id="Straight Arrow Connector 1" o:spid="_x0000_s1026" type="#_x0000_t32" style="position:absolute;margin-left:154.9pt;margin-top:6.65pt;width:32.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" strokecolor="black [3213]" strokeweight=".5pt">
                      <v:stroke endarrow="block" joinstyle="miter"/>
                    </v:shape>
                  </w:pict>
                </mc:Fallback>
              </mc:AlternateContent>
            </w:r>
            <w:r w:rsidR="002D3480" w:rsidRPr="00B14ED8">
              <w:rPr>
                <w:rFonts w:ascii="Times New Roman" w:hAnsi="Times New Roman" w:cs="Times New Roman"/>
                <w:color w:val="000000"/>
                <w:sz w:val="20"/>
                <w:szCs w:val="20"/>
              </w:rPr>
              <w:t xml:space="preserve">H3: </w:t>
            </w:r>
            <w:proofErr w:type="spellStart"/>
            <w:r w:rsidR="002D3480" w:rsidRPr="00B14ED8">
              <w:rPr>
                <w:rFonts w:ascii="Times New Roman" w:hAnsi="Times New Roman" w:cs="Times New Roman"/>
                <w:color w:val="000000"/>
                <w:sz w:val="20"/>
                <w:szCs w:val="20"/>
              </w:rPr>
              <w:t>Mudharabah</w:t>
            </w:r>
            <w:proofErr w:type="spellEnd"/>
            <w:r w:rsidR="002D3480" w:rsidRPr="00B14ED8">
              <w:rPr>
                <w:rFonts w:ascii="Times New Roman" w:hAnsi="Times New Roman" w:cs="Times New Roman"/>
                <w:color w:val="000000"/>
                <w:sz w:val="20"/>
                <w:szCs w:val="20"/>
              </w:rPr>
              <w:t>*</w:t>
            </w:r>
            <w:proofErr w:type="spellStart"/>
            <w:r w:rsidR="002D3480" w:rsidRPr="00B14ED8">
              <w:rPr>
                <w:rFonts w:ascii="Times New Roman" w:hAnsi="Times New Roman" w:cs="Times New Roman"/>
                <w:color w:val="000000"/>
                <w:sz w:val="20"/>
                <w:szCs w:val="20"/>
              </w:rPr>
              <w:t>Manajemen</w:t>
            </w:r>
            <w:proofErr w:type="spellEnd"/>
            <w:r w:rsidR="00DE6745" w:rsidRPr="00B14ED8">
              <w:rPr>
                <w:rFonts w:ascii="Times New Roman" w:hAnsi="Times New Roman" w:cs="Times New Roman"/>
                <w:color w:val="000000"/>
                <w:sz w:val="20"/>
                <w:szCs w:val="20"/>
              </w:rPr>
              <w:t xml:space="preserve"> </w:t>
            </w:r>
            <w:proofErr w:type="spellStart"/>
            <w:r w:rsidR="002D3480" w:rsidRPr="00B14ED8">
              <w:rPr>
                <w:rFonts w:ascii="Times New Roman" w:hAnsi="Times New Roman" w:cs="Times New Roman"/>
                <w:color w:val="000000"/>
                <w:sz w:val="20"/>
                <w:szCs w:val="20"/>
              </w:rPr>
              <w:t>Risiko</w:t>
            </w:r>
            <w:proofErr w:type="spellEnd"/>
            <w:r w:rsidRPr="00B14ED8">
              <w:rPr>
                <w:rFonts w:ascii="Times New Roman" w:hAnsi="Times New Roman" w:cs="Times New Roman"/>
                <w:color w:val="000000"/>
                <w:sz w:val="20"/>
                <w:szCs w:val="20"/>
              </w:rPr>
              <w:t xml:space="preserve">                 </w:t>
            </w:r>
            <w:proofErr w:type="spellStart"/>
            <w:r w:rsidRPr="00B14ED8">
              <w:rPr>
                <w:rFonts w:ascii="Times New Roman" w:hAnsi="Times New Roman" w:cs="Times New Roman"/>
                <w:color w:val="000000"/>
                <w:sz w:val="20"/>
                <w:szCs w:val="20"/>
              </w:rPr>
              <w:t>Kinerja</w:t>
            </w:r>
            <w:proofErr w:type="spellEnd"/>
            <w:r w:rsidRPr="00B14ED8">
              <w:rPr>
                <w:rFonts w:ascii="Times New Roman" w:hAnsi="Times New Roman" w:cs="Times New Roman"/>
                <w:color w:val="000000"/>
                <w:sz w:val="20"/>
                <w:szCs w:val="20"/>
              </w:rPr>
              <w:t xml:space="preserve"> </w:t>
            </w:r>
            <w:proofErr w:type="spellStart"/>
            <w:r w:rsidRPr="00B14ED8">
              <w:rPr>
                <w:rFonts w:ascii="Times New Roman" w:hAnsi="Times New Roman" w:cs="Times New Roman"/>
                <w:color w:val="000000"/>
                <w:sz w:val="20"/>
                <w:szCs w:val="20"/>
              </w:rPr>
              <w:t>Keuangan</w:t>
            </w:r>
            <w:proofErr w:type="spellEnd"/>
          </w:p>
        </w:tc>
        <w:tc>
          <w:tcPr>
            <w:tcW w:w="869" w:type="pct"/>
            <w:vAlign w:val="center"/>
          </w:tcPr>
          <w:p w14:paraId="17761D93" w14:textId="77777777" w:rsidR="002D3480" w:rsidRPr="00B14ED8" w:rsidRDefault="002D3480"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-1.002616</w:t>
            </w:r>
          </w:p>
        </w:tc>
        <w:tc>
          <w:tcPr>
            <w:tcW w:w="434" w:type="pct"/>
            <w:vAlign w:val="center"/>
          </w:tcPr>
          <w:p w14:paraId="74DB7ED1" w14:textId="77777777" w:rsidR="002D3480" w:rsidRPr="00B14ED8" w:rsidRDefault="002D3480"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0.0044</w:t>
            </w:r>
          </w:p>
        </w:tc>
        <w:tc>
          <w:tcPr>
            <w:tcW w:w="649" w:type="pct"/>
          </w:tcPr>
          <w:p w14:paraId="6E5EAC0E" w14:textId="44B16AD5" w:rsidR="002D3480" w:rsidRPr="00B14ED8" w:rsidRDefault="00BB74ED"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H</w:t>
            </w:r>
            <w:r w:rsidR="00FF6A7F" w:rsidRPr="00B14ED8">
              <w:rPr>
                <w:rFonts w:ascii="Times New Roman" w:hAnsi="Times New Roman" w:cs="Times New Roman"/>
                <w:color w:val="000000"/>
                <w:sz w:val="20"/>
                <w:szCs w:val="20"/>
              </w:rPr>
              <w:t>3</w:t>
            </w:r>
            <w:r w:rsidRPr="00B14ED8">
              <w:rPr>
                <w:rFonts w:ascii="Times New Roman" w:hAnsi="Times New Roman" w:cs="Times New Roman"/>
                <w:color w:val="000000"/>
                <w:sz w:val="20"/>
                <w:szCs w:val="20"/>
              </w:rPr>
              <w:t xml:space="preserve"> </w:t>
            </w:r>
            <w:proofErr w:type="spellStart"/>
            <w:r w:rsidRPr="00B14ED8">
              <w:rPr>
                <w:rFonts w:ascii="Times New Roman" w:hAnsi="Times New Roman" w:cs="Times New Roman"/>
                <w:color w:val="000000"/>
                <w:sz w:val="20"/>
                <w:szCs w:val="20"/>
              </w:rPr>
              <w:t>Diterima</w:t>
            </w:r>
            <w:proofErr w:type="spellEnd"/>
          </w:p>
        </w:tc>
      </w:tr>
      <w:tr w:rsidR="002D3480" w:rsidRPr="00B14ED8" w14:paraId="165DDDF2" w14:textId="40FB99B6" w:rsidTr="00B539B3">
        <w:trPr>
          <w:trHeight w:val="225"/>
        </w:trPr>
        <w:tc>
          <w:tcPr>
            <w:tcW w:w="3048" w:type="pct"/>
            <w:tcBorders>
              <w:bottom w:val="single" w:sz="4" w:space="0" w:color="auto"/>
            </w:tcBorders>
            <w:vAlign w:val="center"/>
          </w:tcPr>
          <w:p w14:paraId="5AB6B2B3" w14:textId="6FC7EBC0" w:rsidR="002D3480" w:rsidRPr="00B14ED8" w:rsidRDefault="00B539B3" w:rsidP="00B14ED8">
            <w:pPr>
              <w:autoSpaceDE w:val="0"/>
              <w:autoSpaceDN w:val="0"/>
              <w:adjustRightInd w:val="0"/>
              <w:spacing w:after="0" w:line="360" w:lineRule="auto"/>
              <w:rPr>
                <w:rFonts w:ascii="Times New Roman" w:hAnsi="Times New Roman" w:cs="Times New Roman"/>
                <w:color w:val="000000"/>
                <w:sz w:val="20"/>
                <w:szCs w:val="20"/>
              </w:rPr>
            </w:pPr>
            <w:r w:rsidRPr="00B14ED8">
              <w:rPr>
                <w:rFonts w:ascii="Times New Roman" w:hAnsi="Times New Roman" w:cs="Times New Roman"/>
                <w:noProof/>
                <w:color w:val="000000"/>
                <w:sz w:val="20"/>
                <w:szCs w:val="20"/>
              </w:rPr>
              <mc:AlternateContent>
                <mc:Choice Requires="wps">
                  <w:drawing>
                    <wp:anchor distT="0" distB="0" distL="114300" distR="114300" simplePos="0" relativeHeight="251679744" behindDoc="0" locked="0" layoutInCell="1" allowOverlap="1" wp14:anchorId="3D3F5248" wp14:editId="51F59309">
                      <wp:simplePos x="0" y="0"/>
                      <wp:positionH relativeFrom="column">
                        <wp:posOffset>1967230</wp:posOffset>
                      </wp:positionH>
                      <wp:positionV relativeFrom="paragraph">
                        <wp:posOffset>80010</wp:posOffset>
                      </wp:positionV>
                      <wp:extent cx="409575" cy="0"/>
                      <wp:effectExtent l="0" t="76200" r="9525" b="95250"/>
                      <wp:wrapNone/>
                      <wp:docPr id="918911440" name="Straight Arrow Connector 1"/>
                      <wp:cNvGraphicFramePr/>
                      <a:graphic xmlns:a="http://schemas.openxmlformats.org/drawingml/2006/main">
                        <a:graphicData uri="http://schemas.microsoft.com/office/word/2010/wordprocessingShape">
                          <wps:wsp>
                            <wps:cNvCnPr/>
                            <wps:spPr>
                              <a:xfrm>
                                <a:off x="0" y="0"/>
                                <a:ext cx="4095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7A924D03" id="Straight Arrow Connector 1" o:spid="_x0000_s1026" type="#_x0000_t32" style="position:absolute;margin-left:154.9pt;margin-top:6.3pt;width:32.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" strokecolor="black [3213]" strokeweight=".5pt">
                      <v:stroke endarrow="block" joinstyle="miter"/>
                    </v:shape>
                  </w:pict>
                </mc:Fallback>
              </mc:AlternateContent>
            </w:r>
            <w:r w:rsidR="002D3480" w:rsidRPr="00B14ED8">
              <w:rPr>
                <w:rFonts w:ascii="Times New Roman" w:hAnsi="Times New Roman" w:cs="Times New Roman"/>
                <w:color w:val="000000"/>
                <w:sz w:val="20"/>
                <w:szCs w:val="20"/>
              </w:rPr>
              <w:t xml:space="preserve">H4: </w:t>
            </w:r>
            <w:proofErr w:type="spellStart"/>
            <w:r w:rsidR="002D3480" w:rsidRPr="00B14ED8">
              <w:rPr>
                <w:rFonts w:ascii="Times New Roman" w:hAnsi="Times New Roman" w:cs="Times New Roman"/>
                <w:color w:val="000000"/>
                <w:sz w:val="20"/>
                <w:szCs w:val="20"/>
              </w:rPr>
              <w:t>Musyarakah</w:t>
            </w:r>
            <w:proofErr w:type="spellEnd"/>
            <w:r w:rsidR="002D3480" w:rsidRPr="00B14ED8">
              <w:rPr>
                <w:rFonts w:ascii="Times New Roman" w:hAnsi="Times New Roman" w:cs="Times New Roman"/>
                <w:color w:val="000000"/>
                <w:sz w:val="20"/>
                <w:szCs w:val="20"/>
              </w:rPr>
              <w:t>*</w:t>
            </w:r>
            <w:proofErr w:type="spellStart"/>
            <w:r w:rsidR="002D3480" w:rsidRPr="00B14ED8">
              <w:rPr>
                <w:rFonts w:ascii="Times New Roman" w:hAnsi="Times New Roman" w:cs="Times New Roman"/>
                <w:color w:val="000000"/>
                <w:sz w:val="20"/>
                <w:szCs w:val="20"/>
              </w:rPr>
              <w:t>Manajemen_Risiko</w:t>
            </w:r>
            <w:proofErr w:type="spellEnd"/>
            <w:r w:rsidRPr="00B14ED8">
              <w:rPr>
                <w:rFonts w:ascii="Times New Roman" w:hAnsi="Times New Roman" w:cs="Times New Roman"/>
                <w:color w:val="000000"/>
                <w:sz w:val="20"/>
                <w:szCs w:val="20"/>
              </w:rPr>
              <w:t xml:space="preserve">                  </w:t>
            </w:r>
            <w:proofErr w:type="spellStart"/>
            <w:r w:rsidRPr="00B14ED8">
              <w:rPr>
                <w:rFonts w:ascii="Times New Roman" w:hAnsi="Times New Roman" w:cs="Times New Roman"/>
                <w:color w:val="000000"/>
                <w:sz w:val="20"/>
                <w:szCs w:val="20"/>
              </w:rPr>
              <w:t>Kinerja</w:t>
            </w:r>
            <w:proofErr w:type="spellEnd"/>
            <w:r w:rsidRPr="00B14ED8">
              <w:rPr>
                <w:rFonts w:ascii="Times New Roman" w:hAnsi="Times New Roman" w:cs="Times New Roman"/>
                <w:color w:val="000000"/>
                <w:sz w:val="20"/>
                <w:szCs w:val="20"/>
              </w:rPr>
              <w:t xml:space="preserve"> </w:t>
            </w:r>
            <w:proofErr w:type="spellStart"/>
            <w:r w:rsidRPr="00B14ED8">
              <w:rPr>
                <w:rFonts w:ascii="Times New Roman" w:hAnsi="Times New Roman" w:cs="Times New Roman"/>
                <w:color w:val="000000"/>
                <w:sz w:val="20"/>
                <w:szCs w:val="20"/>
              </w:rPr>
              <w:t>Keuangan</w:t>
            </w:r>
            <w:proofErr w:type="spellEnd"/>
          </w:p>
        </w:tc>
        <w:tc>
          <w:tcPr>
            <w:tcW w:w="869" w:type="pct"/>
            <w:tcBorders>
              <w:bottom w:val="single" w:sz="4" w:space="0" w:color="auto"/>
            </w:tcBorders>
            <w:vAlign w:val="center"/>
          </w:tcPr>
          <w:p w14:paraId="2DF264E1" w14:textId="77777777" w:rsidR="002D3480" w:rsidRPr="00B14ED8" w:rsidRDefault="002D3480"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-1.682252</w:t>
            </w:r>
          </w:p>
        </w:tc>
        <w:tc>
          <w:tcPr>
            <w:tcW w:w="434" w:type="pct"/>
            <w:tcBorders>
              <w:bottom w:val="single" w:sz="4" w:space="0" w:color="auto"/>
            </w:tcBorders>
            <w:vAlign w:val="center"/>
          </w:tcPr>
          <w:p w14:paraId="797EF3DA" w14:textId="77777777" w:rsidR="002D3480" w:rsidRPr="00B14ED8" w:rsidRDefault="002D3480"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0.0335</w:t>
            </w:r>
          </w:p>
        </w:tc>
        <w:tc>
          <w:tcPr>
            <w:tcW w:w="649" w:type="pct"/>
            <w:tcBorders>
              <w:bottom w:val="single" w:sz="4" w:space="0" w:color="auto"/>
            </w:tcBorders>
          </w:tcPr>
          <w:p w14:paraId="0F44A214" w14:textId="210C8559" w:rsidR="002D3480" w:rsidRPr="00B14ED8" w:rsidRDefault="00FF6A7F" w:rsidP="00B14ED8">
            <w:pPr>
              <w:autoSpaceDE w:val="0"/>
              <w:autoSpaceDN w:val="0"/>
              <w:adjustRightInd w:val="0"/>
              <w:spacing w:after="0" w:line="360" w:lineRule="auto"/>
              <w:ind w:right="10"/>
              <w:rPr>
                <w:rFonts w:ascii="Times New Roman" w:hAnsi="Times New Roman" w:cs="Times New Roman"/>
                <w:color w:val="000000"/>
                <w:sz w:val="20"/>
                <w:szCs w:val="20"/>
              </w:rPr>
            </w:pPr>
            <w:r w:rsidRPr="00B14ED8">
              <w:rPr>
                <w:rFonts w:ascii="Times New Roman" w:hAnsi="Times New Roman" w:cs="Times New Roman"/>
                <w:color w:val="000000"/>
                <w:sz w:val="20"/>
                <w:szCs w:val="20"/>
              </w:rPr>
              <w:t xml:space="preserve">H4 </w:t>
            </w:r>
            <w:proofErr w:type="spellStart"/>
            <w:r w:rsidRPr="00B14ED8">
              <w:rPr>
                <w:rFonts w:ascii="Times New Roman" w:hAnsi="Times New Roman" w:cs="Times New Roman"/>
                <w:color w:val="000000"/>
                <w:sz w:val="20"/>
                <w:szCs w:val="20"/>
              </w:rPr>
              <w:t>Diterima</w:t>
            </w:r>
            <w:proofErr w:type="spellEnd"/>
          </w:p>
        </w:tc>
      </w:tr>
    </w:tbl>
    <w:p w14:paraId="449FB5E8" w14:textId="3E126CE8" w:rsidR="00DA07E4" w:rsidRPr="00B14ED8" w:rsidRDefault="005B6F68" w:rsidP="00033206">
      <w:pPr>
        <w:tabs>
          <w:tab w:val="left" w:pos="567"/>
        </w:tabs>
        <w:spacing w:after="0" w:line="360" w:lineRule="auto"/>
        <w:jc w:val="center"/>
        <w:rPr>
          <w:rFonts w:ascii="Times New Roman" w:eastAsia="Times New Roman" w:hAnsi="Times New Roman" w:cs="Times New Roman"/>
          <w:sz w:val="24"/>
          <w:szCs w:val="24"/>
        </w:rPr>
      </w:pPr>
      <w:proofErr w:type="spellStart"/>
      <w:r w:rsidRPr="00B14ED8">
        <w:rPr>
          <w:rFonts w:ascii="Times New Roman" w:eastAsia="Times New Roman" w:hAnsi="Times New Roman" w:cs="Times New Roman"/>
          <w:sz w:val="24"/>
          <w:szCs w:val="24"/>
        </w:rPr>
        <w:t>Sumber</w:t>
      </w:r>
      <w:proofErr w:type="spellEnd"/>
      <w:r w:rsidRPr="00B14ED8">
        <w:rPr>
          <w:rFonts w:ascii="Times New Roman" w:eastAsia="Times New Roman" w:hAnsi="Times New Roman" w:cs="Times New Roman"/>
          <w:sz w:val="24"/>
          <w:szCs w:val="24"/>
        </w:rPr>
        <w:t xml:space="preserve">: Data </w:t>
      </w:r>
      <w:proofErr w:type="spellStart"/>
      <w:r w:rsidRPr="00B14ED8">
        <w:rPr>
          <w:rFonts w:ascii="Times New Roman" w:eastAsia="Times New Roman" w:hAnsi="Times New Roman" w:cs="Times New Roman"/>
          <w:sz w:val="24"/>
          <w:szCs w:val="24"/>
        </w:rPr>
        <w:t>sekunder</w:t>
      </w:r>
      <w:proofErr w:type="spellEnd"/>
      <w:r w:rsidRPr="00B14ED8">
        <w:rPr>
          <w:rFonts w:ascii="Times New Roman" w:eastAsia="Times New Roman" w:hAnsi="Times New Roman" w:cs="Times New Roman"/>
          <w:sz w:val="24"/>
          <w:szCs w:val="24"/>
        </w:rPr>
        <w:t xml:space="preserve"> yang </w:t>
      </w:r>
      <w:proofErr w:type="spellStart"/>
      <w:r w:rsidRPr="00B14ED8">
        <w:rPr>
          <w:rFonts w:ascii="Times New Roman" w:eastAsia="Times New Roman" w:hAnsi="Times New Roman" w:cs="Times New Roman"/>
          <w:sz w:val="24"/>
          <w:szCs w:val="24"/>
        </w:rPr>
        <w:t>diolah</w:t>
      </w:r>
      <w:proofErr w:type="spellEnd"/>
      <w:r w:rsidRPr="00B14ED8">
        <w:rPr>
          <w:rFonts w:ascii="Times New Roman" w:eastAsia="Times New Roman" w:hAnsi="Times New Roman" w:cs="Times New Roman"/>
          <w:sz w:val="24"/>
          <w:szCs w:val="24"/>
        </w:rPr>
        <w:t>, 2024</w:t>
      </w:r>
    </w:p>
    <w:p w14:paraId="78383B18" w14:textId="24CE46FA" w:rsidR="00DA07E4" w:rsidRPr="00B14ED8" w:rsidRDefault="006B61D9" w:rsidP="00B14ED8">
      <w:pPr>
        <w:pStyle w:val="ListParagraph"/>
        <w:numPr>
          <w:ilvl w:val="0"/>
          <w:numId w:val="15"/>
        </w:numPr>
        <w:spacing w:after="0" w:line="360" w:lineRule="auto"/>
        <w:ind w:left="567" w:hanging="567"/>
        <w:jc w:val="both"/>
        <w:rPr>
          <w:rFonts w:ascii="Times New Roman" w:eastAsia="Times New Roman" w:hAnsi="Times New Roman" w:cs="Times New Roman"/>
          <w:b/>
          <w:bCs/>
          <w:sz w:val="24"/>
          <w:szCs w:val="24"/>
        </w:rPr>
      </w:pPr>
      <w:proofErr w:type="spellStart"/>
      <w:r w:rsidRPr="00B14ED8">
        <w:rPr>
          <w:rFonts w:ascii="Times New Roman" w:eastAsia="Times New Roman" w:hAnsi="Times New Roman" w:cs="Times New Roman"/>
          <w:b/>
          <w:bCs/>
          <w:sz w:val="24"/>
          <w:szCs w:val="24"/>
        </w:rPr>
        <w:t>Pengaruh</w:t>
      </w:r>
      <w:proofErr w:type="spellEnd"/>
      <w:r w:rsidRPr="00B14ED8">
        <w:rPr>
          <w:rFonts w:ascii="Times New Roman" w:eastAsia="Times New Roman" w:hAnsi="Times New Roman" w:cs="Times New Roman"/>
          <w:b/>
          <w:bCs/>
          <w:sz w:val="24"/>
          <w:szCs w:val="24"/>
        </w:rPr>
        <w:t xml:space="preserve"> </w:t>
      </w:r>
      <w:proofErr w:type="spellStart"/>
      <w:r w:rsidR="002F4057" w:rsidRPr="00B14ED8">
        <w:rPr>
          <w:rFonts w:ascii="Times New Roman" w:eastAsia="Times New Roman" w:hAnsi="Times New Roman" w:cs="Times New Roman"/>
          <w:b/>
          <w:bCs/>
          <w:sz w:val="24"/>
          <w:szCs w:val="24"/>
        </w:rPr>
        <w:t>Pembiayaan</w:t>
      </w:r>
      <w:proofErr w:type="spellEnd"/>
      <w:r w:rsidR="002F4057" w:rsidRPr="00B14ED8">
        <w:rPr>
          <w:rFonts w:ascii="Times New Roman" w:eastAsia="Times New Roman" w:hAnsi="Times New Roman" w:cs="Times New Roman"/>
          <w:b/>
          <w:bCs/>
          <w:sz w:val="24"/>
          <w:szCs w:val="24"/>
        </w:rPr>
        <w:t xml:space="preserve"> </w:t>
      </w:r>
      <w:proofErr w:type="spellStart"/>
      <w:r w:rsidR="002F4057" w:rsidRPr="00B14ED8">
        <w:rPr>
          <w:rFonts w:ascii="Times New Roman" w:eastAsia="Times New Roman" w:hAnsi="Times New Roman" w:cs="Times New Roman"/>
          <w:b/>
          <w:bCs/>
          <w:i/>
          <w:iCs/>
          <w:sz w:val="24"/>
          <w:szCs w:val="24"/>
        </w:rPr>
        <w:t>Mudharabah</w:t>
      </w:r>
      <w:proofErr w:type="spellEnd"/>
      <w:r w:rsidR="002F4057" w:rsidRPr="00B14ED8">
        <w:rPr>
          <w:rFonts w:ascii="Times New Roman" w:eastAsia="Times New Roman" w:hAnsi="Times New Roman" w:cs="Times New Roman"/>
          <w:b/>
          <w:bCs/>
          <w:i/>
          <w:iCs/>
          <w:sz w:val="24"/>
          <w:szCs w:val="24"/>
        </w:rPr>
        <w:t xml:space="preserve"> </w:t>
      </w:r>
      <w:proofErr w:type="spellStart"/>
      <w:r w:rsidR="002F4057" w:rsidRPr="00B14ED8">
        <w:rPr>
          <w:rFonts w:ascii="Times New Roman" w:eastAsia="Times New Roman" w:hAnsi="Times New Roman" w:cs="Times New Roman"/>
          <w:b/>
          <w:bCs/>
          <w:sz w:val="24"/>
          <w:szCs w:val="24"/>
        </w:rPr>
        <w:t>terhadap</w:t>
      </w:r>
      <w:proofErr w:type="spellEnd"/>
      <w:r w:rsidR="002F4057" w:rsidRPr="00B14ED8">
        <w:rPr>
          <w:rFonts w:ascii="Times New Roman" w:eastAsia="Times New Roman" w:hAnsi="Times New Roman" w:cs="Times New Roman"/>
          <w:b/>
          <w:bCs/>
          <w:sz w:val="24"/>
          <w:szCs w:val="24"/>
        </w:rPr>
        <w:t xml:space="preserve"> </w:t>
      </w:r>
      <w:proofErr w:type="spellStart"/>
      <w:r w:rsidR="002F4057" w:rsidRPr="00B14ED8">
        <w:rPr>
          <w:rFonts w:ascii="Times New Roman" w:eastAsia="Times New Roman" w:hAnsi="Times New Roman" w:cs="Times New Roman"/>
          <w:b/>
          <w:bCs/>
          <w:sz w:val="24"/>
          <w:szCs w:val="24"/>
        </w:rPr>
        <w:t>Kinerja</w:t>
      </w:r>
      <w:proofErr w:type="spellEnd"/>
      <w:r w:rsidR="002F4057" w:rsidRPr="00B14ED8">
        <w:rPr>
          <w:rFonts w:ascii="Times New Roman" w:eastAsia="Times New Roman" w:hAnsi="Times New Roman" w:cs="Times New Roman"/>
          <w:b/>
          <w:bCs/>
          <w:sz w:val="24"/>
          <w:szCs w:val="24"/>
        </w:rPr>
        <w:t xml:space="preserve"> </w:t>
      </w:r>
      <w:proofErr w:type="spellStart"/>
      <w:r w:rsidR="002F4057" w:rsidRPr="00B14ED8">
        <w:rPr>
          <w:rFonts w:ascii="Times New Roman" w:eastAsia="Times New Roman" w:hAnsi="Times New Roman" w:cs="Times New Roman"/>
          <w:b/>
          <w:bCs/>
          <w:sz w:val="24"/>
          <w:szCs w:val="24"/>
        </w:rPr>
        <w:t>Keuangan</w:t>
      </w:r>
      <w:proofErr w:type="spellEnd"/>
    </w:p>
    <w:p w14:paraId="299FFB90" w14:textId="4A347472" w:rsidR="009642E7" w:rsidRPr="00B14ED8" w:rsidRDefault="002B01A2" w:rsidP="00B14ED8">
      <w:pPr>
        <w:pStyle w:val="ListParagraph"/>
        <w:spacing w:after="0" w:line="360" w:lineRule="auto"/>
        <w:ind w:left="567"/>
        <w:jc w:val="both"/>
        <w:rPr>
          <w:rFonts w:ascii="Times New Roman" w:eastAsia="Times New Roman" w:hAnsi="Times New Roman" w:cs="Times New Roman"/>
          <w:sz w:val="24"/>
          <w:szCs w:val="24"/>
        </w:rPr>
      </w:pPr>
      <w:r w:rsidRPr="00B14ED8">
        <w:rPr>
          <w:rFonts w:ascii="Times New Roman" w:eastAsia="Times New Roman" w:hAnsi="Times New Roman" w:cs="Times New Roman"/>
          <w:sz w:val="24"/>
          <w:szCs w:val="24"/>
        </w:rPr>
        <w:t xml:space="preserve">Nilai </w:t>
      </w:r>
      <w:proofErr w:type="spellStart"/>
      <w:r w:rsidRPr="00B14ED8">
        <w:rPr>
          <w:rFonts w:ascii="Times New Roman" w:eastAsia="Times New Roman" w:hAnsi="Times New Roman" w:cs="Times New Roman"/>
          <w:sz w:val="24"/>
          <w:szCs w:val="24"/>
        </w:rPr>
        <w:t>koefisien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pembiayaan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i/>
          <w:iCs/>
          <w:sz w:val="24"/>
          <w:szCs w:val="24"/>
        </w:rPr>
        <w:t>mudharabah</w:t>
      </w:r>
      <w:proofErr w:type="spellEnd"/>
      <w:r w:rsidRPr="00B14ED8">
        <w:rPr>
          <w:rFonts w:ascii="Times New Roman" w:eastAsia="Times New Roman" w:hAnsi="Times New Roman" w:cs="Times New Roman"/>
          <w:i/>
          <w:iCs/>
          <w:sz w:val="24"/>
          <w:szCs w:val="24"/>
        </w:rPr>
        <w:t xml:space="preserve"> </w:t>
      </w:r>
      <w:proofErr w:type="spellStart"/>
      <w:r w:rsidRPr="00B14ED8">
        <w:rPr>
          <w:rFonts w:ascii="Times New Roman" w:eastAsia="Times New Roman" w:hAnsi="Times New Roman" w:cs="Times New Roman"/>
          <w:sz w:val="24"/>
          <w:szCs w:val="24"/>
        </w:rPr>
        <w:t>diperoleh</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sebesar</w:t>
      </w:r>
      <w:proofErr w:type="spellEnd"/>
      <w:r w:rsidRPr="00B14ED8">
        <w:rPr>
          <w:rFonts w:ascii="Times New Roman" w:eastAsia="Times New Roman" w:hAnsi="Times New Roman" w:cs="Times New Roman"/>
          <w:sz w:val="24"/>
          <w:szCs w:val="24"/>
        </w:rPr>
        <w:t xml:space="preserve"> </w:t>
      </w:r>
      <w:r w:rsidR="006E23F0" w:rsidRPr="00B14ED8">
        <w:rPr>
          <w:rFonts w:ascii="Times New Roman" w:eastAsia="Times New Roman" w:hAnsi="Times New Roman" w:cs="Times New Roman"/>
          <w:sz w:val="24"/>
          <w:szCs w:val="24"/>
        </w:rPr>
        <w:t xml:space="preserve">2,496 </w:t>
      </w:r>
      <w:proofErr w:type="spellStart"/>
      <w:r w:rsidR="006E23F0" w:rsidRPr="00B14ED8">
        <w:rPr>
          <w:rFonts w:ascii="Times New Roman" w:eastAsia="Times New Roman" w:hAnsi="Times New Roman" w:cs="Times New Roman"/>
          <w:sz w:val="24"/>
          <w:szCs w:val="24"/>
        </w:rPr>
        <w:t>positif</w:t>
      </w:r>
      <w:proofErr w:type="spellEnd"/>
      <w:r w:rsidR="006E23F0" w:rsidRPr="00B14ED8">
        <w:rPr>
          <w:rFonts w:ascii="Times New Roman" w:eastAsia="Times New Roman" w:hAnsi="Times New Roman" w:cs="Times New Roman"/>
          <w:sz w:val="24"/>
          <w:szCs w:val="24"/>
        </w:rPr>
        <w:t xml:space="preserve"> </w:t>
      </w:r>
      <w:proofErr w:type="spellStart"/>
      <w:r w:rsidR="006E23F0" w:rsidRPr="00B14ED8">
        <w:rPr>
          <w:rFonts w:ascii="Times New Roman" w:eastAsia="Times New Roman" w:hAnsi="Times New Roman" w:cs="Times New Roman"/>
          <w:sz w:val="24"/>
          <w:szCs w:val="24"/>
        </w:rPr>
        <w:t>dengan</w:t>
      </w:r>
      <w:proofErr w:type="spellEnd"/>
      <w:r w:rsidR="006E23F0" w:rsidRPr="00B14ED8">
        <w:rPr>
          <w:rFonts w:ascii="Times New Roman" w:eastAsia="Times New Roman" w:hAnsi="Times New Roman" w:cs="Times New Roman"/>
          <w:sz w:val="24"/>
          <w:szCs w:val="24"/>
        </w:rPr>
        <w:t xml:space="preserve"> P-Value 0,0043 &lt; 0,05 yang </w:t>
      </w:r>
      <w:proofErr w:type="spellStart"/>
      <w:r w:rsidR="006E23F0" w:rsidRPr="00B14ED8">
        <w:rPr>
          <w:rFonts w:ascii="Times New Roman" w:eastAsia="Times New Roman" w:hAnsi="Times New Roman" w:cs="Times New Roman"/>
          <w:sz w:val="24"/>
          <w:szCs w:val="24"/>
        </w:rPr>
        <w:t>berarti</w:t>
      </w:r>
      <w:proofErr w:type="spellEnd"/>
      <w:r w:rsidR="006E23F0" w:rsidRPr="00B14ED8">
        <w:rPr>
          <w:rFonts w:ascii="Times New Roman" w:eastAsia="Times New Roman" w:hAnsi="Times New Roman" w:cs="Times New Roman"/>
          <w:sz w:val="24"/>
          <w:szCs w:val="24"/>
        </w:rPr>
        <w:t xml:space="preserve"> </w:t>
      </w:r>
      <w:proofErr w:type="spellStart"/>
      <w:r w:rsidR="006E23F0" w:rsidRPr="00B14ED8">
        <w:rPr>
          <w:rFonts w:ascii="Times New Roman" w:eastAsia="Times New Roman" w:hAnsi="Times New Roman" w:cs="Times New Roman"/>
          <w:sz w:val="24"/>
          <w:szCs w:val="24"/>
        </w:rPr>
        <w:t>bahwa</w:t>
      </w:r>
      <w:proofErr w:type="spellEnd"/>
      <w:r w:rsidR="006E23F0" w:rsidRPr="00B14ED8">
        <w:rPr>
          <w:rFonts w:ascii="Times New Roman" w:eastAsia="Times New Roman" w:hAnsi="Times New Roman" w:cs="Times New Roman"/>
          <w:sz w:val="24"/>
          <w:szCs w:val="24"/>
        </w:rPr>
        <w:t xml:space="preserve"> </w:t>
      </w:r>
      <w:proofErr w:type="spellStart"/>
      <w:r w:rsidR="006E23F0" w:rsidRPr="00B14ED8">
        <w:rPr>
          <w:rFonts w:ascii="Times New Roman" w:eastAsia="Times New Roman" w:hAnsi="Times New Roman" w:cs="Times New Roman"/>
          <w:sz w:val="24"/>
          <w:szCs w:val="24"/>
        </w:rPr>
        <w:t>pembiayaan</w:t>
      </w:r>
      <w:proofErr w:type="spellEnd"/>
      <w:r w:rsidR="006E23F0" w:rsidRPr="00B14ED8">
        <w:rPr>
          <w:rFonts w:ascii="Times New Roman" w:eastAsia="Times New Roman" w:hAnsi="Times New Roman" w:cs="Times New Roman"/>
          <w:sz w:val="24"/>
          <w:szCs w:val="24"/>
        </w:rPr>
        <w:t xml:space="preserve"> </w:t>
      </w:r>
      <w:proofErr w:type="spellStart"/>
      <w:r w:rsidR="006E23F0" w:rsidRPr="00B14ED8">
        <w:rPr>
          <w:rFonts w:ascii="Times New Roman" w:eastAsia="Times New Roman" w:hAnsi="Times New Roman" w:cs="Times New Roman"/>
          <w:i/>
          <w:iCs/>
          <w:sz w:val="24"/>
          <w:szCs w:val="24"/>
        </w:rPr>
        <w:t>mudharabah</w:t>
      </w:r>
      <w:proofErr w:type="spellEnd"/>
      <w:r w:rsidR="006E23F0" w:rsidRPr="00B14ED8">
        <w:rPr>
          <w:rFonts w:ascii="Times New Roman" w:eastAsia="Times New Roman" w:hAnsi="Times New Roman" w:cs="Times New Roman"/>
          <w:i/>
          <w:iCs/>
          <w:sz w:val="24"/>
          <w:szCs w:val="24"/>
        </w:rPr>
        <w:t xml:space="preserve"> </w:t>
      </w:r>
      <w:proofErr w:type="spellStart"/>
      <w:r w:rsidR="006E23F0" w:rsidRPr="00B14ED8">
        <w:rPr>
          <w:rFonts w:ascii="Times New Roman" w:eastAsia="Times New Roman" w:hAnsi="Times New Roman" w:cs="Times New Roman"/>
          <w:sz w:val="24"/>
          <w:szCs w:val="24"/>
        </w:rPr>
        <w:t>terbukti</w:t>
      </w:r>
      <w:proofErr w:type="spellEnd"/>
      <w:r w:rsidR="006E23F0" w:rsidRPr="00B14ED8">
        <w:rPr>
          <w:rFonts w:ascii="Times New Roman" w:eastAsia="Times New Roman" w:hAnsi="Times New Roman" w:cs="Times New Roman"/>
          <w:sz w:val="24"/>
          <w:szCs w:val="24"/>
        </w:rPr>
        <w:t xml:space="preserve"> </w:t>
      </w:r>
      <w:proofErr w:type="spellStart"/>
      <w:r w:rsidR="006E23F0" w:rsidRPr="00B14ED8">
        <w:rPr>
          <w:rFonts w:ascii="Times New Roman" w:eastAsia="Times New Roman" w:hAnsi="Times New Roman" w:cs="Times New Roman"/>
          <w:sz w:val="24"/>
          <w:szCs w:val="24"/>
        </w:rPr>
        <w:t>memberikan</w:t>
      </w:r>
      <w:proofErr w:type="spellEnd"/>
      <w:r w:rsidR="006E23F0" w:rsidRPr="00B14ED8">
        <w:rPr>
          <w:rFonts w:ascii="Times New Roman" w:eastAsia="Times New Roman" w:hAnsi="Times New Roman" w:cs="Times New Roman"/>
          <w:sz w:val="24"/>
          <w:szCs w:val="24"/>
        </w:rPr>
        <w:t xml:space="preserve"> </w:t>
      </w:r>
      <w:proofErr w:type="spellStart"/>
      <w:r w:rsidR="006E23F0" w:rsidRPr="00B14ED8">
        <w:rPr>
          <w:rFonts w:ascii="Times New Roman" w:eastAsia="Times New Roman" w:hAnsi="Times New Roman" w:cs="Times New Roman"/>
          <w:sz w:val="24"/>
          <w:szCs w:val="24"/>
        </w:rPr>
        <w:t>pengaruh</w:t>
      </w:r>
      <w:proofErr w:type="spellEnd"/>
      <w:r w:rsidR="006E23F0" w:rsidRPr="00B14ED8">
        <w:rPr>
          <w:rFonts w:ascii="Times New Roman" w:eastAsia="Times New Roman" w:hAnsi="Times New Roman" w:cs="Times New Roman"/>
          <w:sz w:val="24"/>
          <w:szCs w:val="24"/>
        </w:rPr>
        <w:t xml:space="preserve"> </w:t>
      </w:r>
      <w:proofErr w:type="spellStart"/>
      <w:r w:rsidR="006E23F0" w:rsidRPr="00B14ED8">
        <w:rPr>
          <w:rFonts w:ascii="Times New Roman" w:eastAsia="Times New Roman" w:hAnsi="Times New Roman" w:cs="Times New Roman"/>
          <w:sz w:val="24"/>
          <w:szCs w:val="24"/>
        </w:rPr>
        <w:t>positif</w:t>
      </w:r>
      <w:proofErr w:type="spellEnd"/>
      <w:r w:rsidR="006E23F0" w:rsidRPr="00B14ED8">
        <w:rPr>
          <w:rFonts w:ascii="Times New Roman" w:eastAsia="Times New Roman" w:hAnsi="Times New Roman" w:cs="Times New Roman"/>
          <w:sz w:val="24"/>
          <w:szCs w:val="24"/>
        </w:rPr>
        <w:t xml:space="preserve"> </w:t>
      </w:r>
      <w:proofErr w:type="spellStart"/>
      <w:r w:rsidR="006E23F0" w:rsidRPr="00B14ED8">
        <w:rPr>
          <w:rFonts w:ascii="Times New Roman" w:eastAsia="Times New Roman" w:hAnsi="Times New Roman" w:cs="Times New Roman"/>
          <w:sz w:val="24"/>
          <w:szCs w:val="24"/>
        </w:rPr>
        <w:t>terhadap</w:t>
      </w:r>
      <w:proofErr w:type="spellEnd"/>
      <w:r w:rsidR="006E23F0" w:rsidRPr="00B14ED8">
        <w:rPr>
          <w:rFonts w:ascii="Times New Roman" w:eastAsia="Times New Roman" w:hAnsi="Times New Roman" w:cs="Times New Roman"/>
          <w:sz w:val="24"/>
          <w:szCs w:val="24"/>
        </w:rPr>
        <w:t xml:space="preserve"> </w:t>
      </w:r>
      <w:proofErr w:type="spellStart"/>
      <w:r w:rsidR="006E23F0" w:rsidRPr="00B14ED8">
        <w:rPr>
          <w:rFonts w:ascii="Times New Roman" w:eastAsia="Times New Roman" w:hAnsi="Times New Roman" w:cs="Times New Roman"/>
          <w:sz w:val="24"/>
          <w:szCs w:val="24"/>
        </w:rPr>
        <w:t>kinerja</w:t>
      </w:r>
      <w:proofErr w:type="spellEnd"/>
      <w:r w:rsidR="006E23F0" w:rsidRPr="00B14ED8">
        <w:rPr>
          <w:rFonts w:ascii="Times New Roman" w:eastAsia="Times New Roman" w:hAnsi="Times New Roman" w:cs="Times New Roman"/>
          <w:sz w:val="24"/>
          <w:szCs w:val="24"/>
        </w:rPr>
        <w:t xml:space="preserve"> </w:t>
      </w:r>
      <w:proofErr w:type="spellStart"/>
      <w:r w:rsidR="006E23F0" w:rsidRPr="00B14ED8">
        <w:rPr>
          <w:rFonts w:ascii="Times New Roman" w:eastAsia="Times New Roman" w:hAnsi="Times New Roman" w:cs="Times New Roman"/>
          <w:sz w:val="24"/>
          <w:szCs w:val="24"/>
        </w:rPr>
        <w:t>keuangan</w:t>
      </w:r>
      <w:proofErr w:type="spellEnd"/>
      <w:r w:rsidR="006E23F0" w:rsidRPr="00B14ED8">
        <w:rPr>
          <w:rFonts w:ascii="Times New Roman" w:eastAsia="Times New Roman" w:hAnsi="Times New Roman" w:cs="Times New Roman"/>
          <w:sz w:val="24"/>
          <w:szCs w:val="24"/>
        </w:rPr>
        <w:t xml:space="preserve">. </w:t>
      </w:r>
      <w:proofErr w:type="spellStart"/>
      <w:r w:rsidR="006E23F0" w:rsidRPr="00B14ED8">
        <w:rPr>
          <w:rFonts w:ascii="Times New Roman" w:eastAsia="Times New Roman" w:hAnsi="Times New Roman" w:cs="Times New Roman"/>
          <w:sz w:val="24"/>
          <w:szCs w:val="24"/>
        </w:rPr>
        <w:t>Keterangan</w:t>
      </w:r>
      <w:proofErr w:type="spellEnd"/>
      <w:r w:rsidR="006E23F0" w:rsidRPr="00B14ED8">
        <w:rPr>
          <w:rFonts w:ascii="Times New Roman" w:eastAsia="Times New Roman" w:hAnsi="Times New Roman" w:cs="Times New Roman"/>
          <w:sz w:val="24"/>
          <w:szCs w:val="24"/>
        </w:rPr>
        <w:t xml:space="preserve"> </w:t>
      </w:r>
      <w:proofErr w:type="spellStart"/>
      <w:r w:rsidR="006E23F0" w:rsidRPr="00B14ED8">
        <w:rPr>
          <w:rFonts w:ascii="Times New Roman" w:eastAsia="Times New Roman" w:hAnsi="Times New Roman" w:cs="Times New Roman"/>
          <w:sz w:val="24"/>
          <w:szCs w:val="24"/>
        </w:rPr>
        <w:t>ini</w:t>
      </w:r>
      <w:proofErr w:type="spellEnd"/>
      <w:r w:rsidR="006E23F0" w:rsidRPr="00B14ED8">
        <w:rPr>
          <w:rFonts w:ascii="Times New Roman" w:eastAsia="Times New Roman" w:hAnsi="Times New Roman" w:cs="Times New Roman"/>
          <w:sz w:val="24"/>
          <w:szCs w:val="24"/>
        </w:rPr>
        <w:t xml:space="preserve"> </w:t>
      </w:r>
      <w:proofErr w:type="spellStart"/>
      <w:r w:rsidR="006E23F0" w:rsidRPr="00B14ED8">
        <w:rPr>
          <w:rFonts w:ascii="Times New Roman" w:eastAsia="Times New Roman" w:hAnsi="Times New Roman" w:cs="Times New Roman"/>
          <w:sz w:val="24"/>
          <w:szCs w:val="24"/>
        </w:rPr>
        <w:t>mengindikasikan</w:t>
      </w:r>
      <w:proofErr w:type="spellEnd"/>
      <w:r w:rsidR="006E23F0" w:rsidRPr="00B14ED8">
        <w:rPr>
          <w:rFonts w:ascii="Times New Roman" w:eastAsia="Times New Roman" w:hAnsi="Times New Roman" w:cs="Times New Roman"/>
          <w:sz w:val="24"/>
          <w:szCs w:val="24"/>
        </w:rPr>
        <w:t xml:space="preserve"> </w:t>
      </w:r>
      <w:proofErr w:type="spellStart"/>
      <w:r w:rsidR="006E23F0" w:rsidRPr="00B14ED8">
        <w:rPr>
          <w:rFonts w:ascii="Times New Roman" w:eastAsia="Times New Roman" w:hAnsi="Times New Roman" w:cs="Times New Roman"/>
          <w:sz w:val="24"/>
          <w:szCs w:val="24"/>
        </w:rPr>
        <w:t>bahwa</w:t>
      </w:r>
      <w:proofErr w:type="spellEnd"/>
      <w:r w:rsidR="006E23F0" w:rsidRPr="00B14ED8">
        <w:rPr>
          <w:rFonts w:ascii="Times New Roman" w:eastAsia="Times New Roman" w:hAnsi="Times New Roman" w:cs="Times New Roman"/>
          <w:sz w:val="24"/>
          <w:szCs w:val="24"/>
        </w:rPr>
        <w:t xml:space="preserve"> H1 </w:t>
      </w:r>
      <w:proofErr w:type="spellStart"/>
      <w:r w:rsidR="006E23F0" w:rsidRPr="00B14ED8">
        <w:rPr>
          <w:rFonts w:ascii="Times New Roman" w:eastAsia="Times New Roman" w:hAnsi="Times New Roman" w:cs="Times New Roman"/>
          <w:sz w:val="24"/>
          <w:szCs w:val="24"/>
        </w:rPr>
        <w:t>penelitian</w:t>
      </w:r>
      <w:proofErr w:type="spellEnd"/>
      <w:r w:rsidR="006E23F0" w:rsidRPr="00B14ED8">
        <w:rPr>
          <w:rFonts w:ascii="Times New Roman" w:eastAsia="Times New Roman" w:hAnsi="Times New Roman" w:cs="Times New Roman"/>
          <w:sz w:val="24"/>
          <w:szCs w:val="24"/>
        </w:rPr>
        <w:t xml:space="preserve"> </w:t>
      </w:r>
      <w:proofErr w:type="spellStart"/>
      <w:r w:rsidR="006E23F0" w:rsidRPr="00B14ED8">
        <w:rPr>
          <w:rFonts w:ascii="Times New Roman" w:eastAsia="Times New Roman" w:hAnsi="Times New Roman" w:cs="Times New Roman"/>
          <w:sz w:val="24"/>
          <w:szCs w:val="24"/>
        </w:rPr>
        <w:t>diterima</w:t>
      </w:r>
      <w:proofErr w:type="spellEnd"/>
      <w:r w:rsidR="006E23F0" w:rsidRPr="00B14ED8">
        <w:rPr>
          <w:rFonts w:ascii="Times New Roman" w:eastAsia="Times New Roman" w:hAnsi="Times New Roman" w:cs="Times New Roman"/>
          <w:sz w:val="24"/>
          <w:szCs w:val="24"/>
        </w:rPr>
        <w:t>.</w:t>
      </w:r>
      <w:r w:rsidR="0032534C" w:rsidRPr="00B14ED8">
        <w:rPr>
          <w:rFonts w:ascii="Times New Roman" w:eastAsia="Times New Roman" w:hAnsi="Times New Roman" w:cs="Times New Roman"/>
          <w:sz w:val="24"/>
          <w:szCs w:val="24"/>
        </w:rPr>
        <w:t xml:space="preserve"> </w:t>
      </w:r>
      <w:proofErr w:type="spellStart"/>
      <w:r w:rsidR="0032534C" w:rsidRPr="00B14ED8">
        <w:rPr>
          <w:rFonts w:ascii="Times New Roman" w:eastAsia="Times New Roman" w:hAnsi="Times New Roman" w:cs="Times New Roman"/>
          <w:sz w:val="24"/>
          <w:szCs w:val="24"/>
        </w:rPr>
        <w:t>Artinya</w:t>
      </w:r>
      <w:proofErr w:type="spellEnd"/>
      <w:r w:rsidR="0032534C" w:rsidRPr="00B14ED8">
        <w:rPr>
          <w:rFonts w:ascii="Times New Roman" w:eastAsia="Times New Roman" w:hAnsi="Times New Roman" w:cs="Times New Roman"/>
          <w:sz w:val="24"/>
          <w:szCs w:val="24"/>
        </w:rPr>
        <w:t xml:space="preserve"> </w:t>
      </w:r>
      <w:proofErr w:type="spellStart"/>
      <w:r w:rsidR="0032534C" w:rsidRPr="00B14ED8">
        <w:rPr>
          <w:rFonts w:ascii="Times New Roman" w:eastAsia="Times New Roman" w:hAnsi="Times New Roman" w:cs="Times New Roman"/>
          <w:sz w:val="24"/>
          <w:szCs w:val="24"/>
        </w:rPr>
        <w:t>peningkatan</w:t>
      </w:r>
      <w:proofErr w:type="spellEnd"/>
      <w:r w:rsidR="0032534C" w:rsidRPr="00B14ED8">
        <w:rPr>
          <w:rFonts w:ascii="Times New Roman" w:eastAsia="Times New Roman" w:hAnsi="Times New Roman" w:cs="Times New Roman"/>
          <w:sz w:val="24"/>
          <w:szCs w:val="24"/>
        </w:rPr>
        <w:t xml:space="preserve"> </w:t>
      </w:r>
      <w:proofErr w:type="spellStart"/>
      <w:r w:rsidR="0032534C" w:rsidRPr="00B14ED8">
        <w:rPr>
          <w:rFonts w:ascii="Times New Roman" w:eastAsia="Times New Roman" w:hAnsi="Times New Roman" w:cs="Times New Roman"/>
          <w:sz w:val="24"/>
          <w:szCs w:val="24"/>
        </w:rPr>
        <w:t>nilai</w:t>
      </w:r>
      <w:proofErr w:type="spellEnd"/>
      <w:r w:rsidR="0032534C" w:rsidRPr="00B14ED8">
        <w:rPr>
          <w:rFonts w:ascii="Times New Roman" w:eastAsia="Times New Roman" w:hAnsi="Times New Roman" w:cs="Times New Roman"/>
          <w:sz w:val="24"/>
          <w:szCs w:val="24"/>
        </w:rPr>
        <w:t xml:space="preserve"> </w:t>
      </w:r>
      <w:proofErr w:type="spellStart"/>
      <w:r w:rsidR="0032534C" w:rsidRPr="00B14ED8">
        <w:rPr>
          <w:rFonts w:ascii="Times New Roman" w:eastAsia="Times New Roman" w:hAnsi="Times New Roman" w:cs="Times New Roman"/>
          <w:sz w:val="24"/>
          <w:szCs w:val="24"/>
        </w:rPr>
        <w:t>pembiayaan</w:t>
      </w:r>
      <w:proofErr w:type="spellEnd"/>
      <w:r w:rsidR="0032534C" w:rsidRPr="00B14ED8">
        <w:rPr>
          <w:rFonts w:ascii="Times New Roman" w:eastAsia="Times New Roman" w:hAnsi="Times New Roman" w:cs="Times New Roman"/>
          <w:sz w:val="24"/>
          <w:szCs w:val="24"/>
        </w:rPr>
        <w:t xml:space="preserve"> </w:t>
      </w:r>
      <w:proofErr w:type="spellStart"/>
      <w:r w:rsidR="0032534C" w:rsidRPr="00B14ED8">
        <w:rPr>
          <w:rFonts w:ascii="Times New Roman" w:eastAsia="Times New Roman" w:hAnsi="Times New Roman" w:cs="Times New Roman"/>
          <w:i/>
          <w:iCs/>
          <w:sz w:val="24"/>
          <w:szCs w:val="24"/>
        </w:rPr>
        <w:t>mudharabah</w:t>
      </w:r>
      <w:proofErr w:type="spellEnd"/>
      <w:r w:rsidR="0032534C" w:rsidRPr="00B14ED8">
        <w:rPr>
          <w:rFonts w:ascii="Times New Roman" w:eastAsia="Times New Roman" w:hAnsi="Times New Roman" w:cs="Times New Roman"/>
          <w:i/>
          <w:iCs/>
          <w:sz w:val="24"/>
          <w:szCs w:val="24"/>
        </w:rPr>
        <w:t xml:space="preserve"> </w:t>
      </w:r>
      <w:proofErr w:type="spellStart"/>
      <w:r w:rsidR="0032534C" w:rsidRPr="00B14ED8">
        <w:rPr>
          <w:rFonts w:ascii="Times New Roman" w:eastAsia="Times New Roman" w:hAnsi="Times New Roman" w:cs="Times New Roman"/>
          <w:sz w:val="24"/>
          <w:szCs w:val="24"/>
        </w:rPr>
        <w:t>dapat</w:t>
      </w:r>
      <w:proofErr w:type="spellEnd"/>
      <w:r w:rsidR="0032534C" w:rsidRPr="00B14ED8">
        <w:rPr>
          <w:rFonts w:ascii="Times New Roman" w:eastAsia="Times New Roman" w:hAnsi="Times New Roman" w:cs="Times New Roman"/>
          <w:sz w:val="24"/>
          <w:szCs w:val="24"/>
        </w:rPr>
        <w:t xml:space="preserve"> </w:t>
      </w:r>
      <w:proofErr w:type="spellStart"/>
      <w:r w:rsidR="0032534C" w:rsidRPr="00B14ED8">
        <w:rPr>
          <w:rFonts w:ascii="Times New Roman" w:eastAsia="Times New Roman" w:hAnsi="Times New Roman" w:cs="Times New Roman"/>
          <w:sz w:val="24"/>
          <w:szCs w:val="24"/>
        </w:rPr>
        <w:lastRenderedPageBreak/>
        <w:t>berpengaruh</w:t>
      </w:r>
      <w:proofErr w:type="spellEnd"/>
      <w:r w:rsidR="0032534C" w:rsidRPr="00B14ED8">
        <w:rPr>
          <w:rFonts w:ascii="Times New Roman" w:eastAsia="Times New Roman" w:hAnsi="Times New Roman" w:cs="Times New Roman"/>
          <w:sz w:val="24"/>
          <w:szCs w:val="24"/>
        </w:rPr>
        <w:t xml:space="preserve"> </w:t>
      </w:r>
      <w:proofErr w:type="spellStart"/>
      <w:r w:rsidR="0032534C" w:rsidRPr="00B14ED8">
        <w:rPr>
          <w:rFonts w:ascii="Times New Roman" w:eastAsia="Times New Roman" w:hAnsi="Times New Roman" w:cs="Times New Roman"/>
          <w:sz w:val="24"/>
          <w:szCs w:val="24"/>
        </w:rPr>
        <w:t>terhadap</w:t>
      </w:r>
      <w:proofErr w:type="spellEnd"/>
      <w:r w:rsidR="0032534C" w:rsidRPr="00B14ED8">
        <w:rPr>
          <w:rFonts w:ascii="Times New Roman" w:eastAsia="Times New Roman" w:hAnsi="Times New Roman" w:cs="Times New Roman"/>
          <w:sz w:val="24"/>
          <w:szCs w:val="24"/>
        </w:rPr>
        <w:t xml:space="preserve"> </w:t>
      </w:r>
      <w:proofErr w:type="spellStart"/>
      <w:r w:rsidR="0032534C" w:rsidRPr="00B14ED8">
        <w:rPr>
          <w:rFonts w:ascii="Times New Roman" w:eastAsia="Times New Roman" w:hAnsi="Times New Roman" w:cs="Times New Roman"/>
          <w:sz w:val="24"/>
          <w:szCs w:val="24"/>
        </w:rPr>
        <w:t>peningkatan</w:t>
      </w:r>
      <w:proofErr w:type="spellEnd"/>
      <w:r w:rsidR="0032534C" w:rsidRPr="00B14ED8">
        <w:rPr>
          <w:rFonts w:ascii="Times New Roman" w:eastAsia="Times New Roman" w:hAnsi="Times New Roman" w:cs="Times New Roman"/>
          <w:sz w:val="24"/>
          <w:szCs w:val="24"/>
        </w:rPr>
        <w:t xml:space="preserve"> </w:t>
      </w:r>
      <w:proofErr w:type="spellStart"/>
      <w:r w:rsidR="0032534C" w:rsidRPr="00B14ED8">
        <w:rPr>
          <w:rFonts w:ascii="Times New Roman" w:eastAsia="Times New Roman" w:hAnsi="Times New Roman" w:cs="Times New Roman"/>
          <w:sz w:val="24"/>
          <w:szCs w:val="24"/>
        </w:rPr>
        <w:t>nilai</w:t>
      </w:r>
      <w:proofErr w:type="spellEnd"/>
      <w:r w:rsidR="0032534C" w:rsidRPr="00B14ED8">
        <w:rPr>
          <w:rFonts w:ascii="Times New Roman" w:eastAsia="Times New Roman" w:hAnsi="Times New Roman" w:cs="Times New Roman"/>
          <w:sz w:val="24"/>
          <w:szCs w:val="24"/>
        </w:rPr>
        <w:t xml:space="preserve"> </w:t>
      </w:r>
      <w:proofErr w:type="spellStart"/>
      <w:r w:rsidR="0032534C" w:rsidRPr="00B14ED8">
        <w:rPr>
          <w:rFonts w:ascii="Times New Roman" w:eastAsia="Times New Roman" w:hAnsi="Times New Roman" w:cs="Times New Roman"/>
          <w:sz w:val="24"/>
          <w:szCs w:val="24"/>
        </w:rPr>
        <w:t>kinerja</w:t>
      </w:r>
      <w:proofErr w:type="spellEnd"/>
      <w:r w:rsidR="0032534C" w:rsidRPr="00B14ED8">
        <w:rPr>
          <w:rFonts w:ascii="Times New Roman" w:eastAsia="Times New Roman" w:hAnsi="Times New Roman" w:cs="Times New Roman"/>
          <w:sz w:val="24"/>
          <w:szCs w:val="24"/>
        </w:rPr>
        <w:t xml:space="preserve"> </w:t>
      </w:r>
      <w:proofErr w:type="spellStart"/>
      <w:r w:rsidR="0032534C" w:rsidRPr="00B14ED8">
        <w:rPr>
          <w:rFonts w:ascii="Times New Roman" w:eastAsia="Times New Roman" w:hAnsi="Times New Roman" w:cs="Times New Roman"/>
          <w:sz w:val="24"/>
          <w:szCs w:val="24"/>
        </w:rPr>
        <w:t>keuangan</w:t>
      </w:r>
      <w:proofErr w:type="spellEnd"/>
      <w:r w:rsidR="0032534C" w:rsidRPr="00B14ED8">
        <w:rPr>
          <w:rFonts w:ascii="Times New Roman" w:eastAsia="Times New Roman" w:hAnsi="Times New Roman" w:cs="Times New Roman"/>
          <w:sz w:val="24"/>
          <w:szCs w:val="24"/>
        </w:rPr>
        <w:t xml:space="preserve"> yang </w:t>
      </w:r>
      <w:proofErr w:type="spellStart"/>
      <w:r w:rsidR="0032534C" w:rsidRPr="00B14ED8">
        <w:rPr>
          <w:rFonts w:ascii="Times New Roman" w:eastAsia="Times New Roman" w:hAnsi="Times New Roman" w:cs="Times New Roman"/>
          <w:sz w:val="24"/>
          <w:szCs w:val="24"/>
        </w:rPr>
        <w:t>dihasilkan</w:t>
      </w:r>
      <w:proofErr w:type="spellEnd"/>
      <w:r w:rsidR="0078223D" w:rsidRPr="00B14ED8">
        <w:rPr>
          <w:rFonts w:ascii="Times New Roman" w:eastAsia="Times New Roman" w:hAnsi="Times New Roman" w:cs="Times New Roman"/>
          <w:sz w:val="24"/>
          <w:szCs w:val="24"/>
        </w:rPr>
        <w:t xml:space="preserve">. </w:t>
      </w:r>
      <w:proofErr w:type="spellStart"/>
      <w:r w:rsidR="00E11836" w:rsidRPr="00B14ED8">
        <w:rPr>
          <w:rFonts w:ascii="Times New Roman" w:eastAsia="Times New Roman" w:hAnsi="Times New Roman" w:cs="Times New Roman"/>
          <w:sz w:val="24"/>
          <w:szCs w:val="24"/>
        </w:rPr>
        <w:t>Pembiayaan</w:t>
      </w:r>
      <w:proofErr w:type="spellEnd"/>
      <w:r w:rsidR="00E11836" w:rsidRPr="00B14ED8">
        <w:rPr>
          <w:rFonts w:ascii="Times New Roman" w:eastAsia="Times New Roman" w:hAnsi="Times New Roman" w:cs="Times New Roman"/>
          <w:sz w:val="24"/>
          <w:szCs w:val="24"/>
        </w:rPr>
        <w:t xml:space="preserve"> </w:t>
      </w:r>
      <w:proofErr w:type="spellStart"/>
      <w:r w:rsidR="00E11836" w:rsidRPr="00B14ED8">
        <w:rPr>
          <w:rFonts w:ascii="Times New Roman" w:eastAsia="Times New Roman" w:hAnsi="Times New Roman" w:cs="Times New Roman"/>
          <w:i/>
          <w:iCs/>
          <w:sz w:val="24"/>
          <w:szCs w:val="24"/>
        </w:rPr>
        <w:t>mudharabah</w:t>
      </w:r>
      <w:proofErr w:type="spellEnd"/>
      <w:r w:rsidR="00E11836" w:rsidRPr="00B14ED8">
        <w:rPr>
          <w:rFonts w:ascii="Times New Roman" w:eastAsia="Times New Roman" w:hAnsi="Times New Roman" w:cs="Times New Roman"/>
          <w:i/>
          <w:iCs/>
          <w:sz w:val="24"/>
          <w:szCs w:val="24"/>
        </w:rPr>
        <w:t xml:space="preserve"> </w:t>
      </w:r>
      <w:r w:rsidR="00E11836" w:rsidRPr="00B14ED8">
        <w:rPr>
          <w:rFonts w:ascii="Times New Roman" w:eastAsia="Times New Roman" w:hAnsi="Times New Roman" w:cs="Times New Roman"/>
          <w:sz w:val="24"/>
          <w:szCs w:val="24"/>
        </w:rPr>
        <w:t xml:space="preserve">yang </w:t>
      </w:r>
      <w:proofErr w:type="spellStart"/>
      <w:r w:rsidR="00E11836" w:rsidRPr="00B14ED8">
        <w:rPr>
          <w:rFonts w:ascii="Times New Roman" w:eastAsia="Times New Roman" w:hAnsi="Times New Roman" w:cs="Times New Roman"/>
          <w:sz w:val="24"/>
          <w:szCs w:val="24"/>
        </w:rPr>
        <w:t>diterapkan</w:t>
      </w:r>
      <w:proofErr w:type="spellEnd"/>
      <w:r w:rsidR="00E11836" w:rsidRPr="00B14ED8">
        <w:rPr>
          <w:rFonts w:ascii="Times New Roman" w:eastAsia="Times New Roman" w:hAnsi="Times New Roman" w:cs="Times New Roman"/>
          <w:sz w:val="24"/>
          <w:szCs w:val="24"/>
        </w:rPr>
        <w:t xml:space="preserve"> </w:t>
      </w:r>
      <w:proofErr w:type="spellStart"/>
      <w:r w:rsidR="00E11836" w:rsidRPr="00B14ED8">
        <w:rPr>
          <w:rFonts w:ascii="Times New Roman" w:eastAsia="Times New Roman" w:hAnsi="Times New Roman" w:cs="Times New Roman"/>
          <w:sz w:val="24"/>
          <w:szCs w:val="24"/>
        </w:rPr>
        <w:t>perbankan</w:t>
      </w:r>
      <w:proofErr w:type="spellEnd"/>
      <w:r w:rsidR="00E11836" w:rsidRPr="00B14ED8">
        <w:rPr>
          <w:rFonts w:ascii="Times New Roman" w:eastAsia="Times New Roman" w:hAnsi="Times New Roman" w:cs="Times New Roman"/>
          <w:sz w:val="24"/>
          <w:szCs w:val="24"/>
        </w:rPr>
        <w:t xml:space="preserve"> </w:t>
      </w:r>
      <w:proofErr w:type="spellStart"/>
      <w:r w:rsidR="00905422" w:rsidRPr="00B14ED8">
        <w:rPr>
          <w:rFonts w:ascii="Times New Roman" w:eastAsia="Times New Roman" w:hAnsi="Times New Roman" w:cs="Times New Roman"/>
          <w:sz w:val="24"/>
          <w:szCs w:val="24"/>
        </w:rPr>
        <w:t>syariah</w:t>
      </w:r>
      <w:proofErr w:type="spellEnd"/>
      <w:r w:rsidR="00905422" w:rsidRPr="00B14ED8">
        <w:rPr>
          <w:rFonts w:ascii="Times New Roman" w:eastAsia="Times New Roman" w:hAnsi="Times New Roman" w:cs="Times New Roman"/>
          <w:sz w:val="24"/>
          <w:szCs w:val="24"/>
        </w:rPr>
        <w:t xml:space="preserve"> </w:t>
      </w:r>
      <w:proofErr w:type="spellStart"/>
      <w:r w:rsidR="00905422" w:rsidRPr="00B14ED8">
        <w:rPr>
          <w:rFonts w:ascii="Times New Roman" w:eastAsia="Times New Roman" w:hAnsi="Times New Roman" w:cs="Times New Roman"/>
          <w:sz w:val="24"/>
          <w:szCs w:val="24"/>
        </w:rPr>
        <w:t>mampu</w:t>
      </w:r>
      <w:proofErr w:type="spellEnd"/>
      <w:r w:rsidR="00905422" w:rsidRPr="00B14ED8">
        <w:rPr>
          <w:rFonts w:ascii="Times New Roman" w:eastAsia="Times New Roman" w:hAnsi="Times New Roman" w:cs="Times New Roman"/>
          <w:sz w:val="24"/>
          <w:szCs w:val="24"/>
        </w:rPr>
        <w:t xml:space="preserve"> </w:t>
      </w:r>
      <w:proofErr w:type="spellStart"/>
      <w:r w:rsidR="00905422" w:rsidRPr="00B14ED8">
        <w:rPr>
          <w:rFonts w:ascii="Times New Roman" w:eastAsia="Times New Roman" w:hAnsi="Times New Roman" w:cs="Times New Roman"/>
          <w:sz w:val="24"/>
          <w:szCs w:val="24"/>
        </w:rPr>
        <w:t>dikelola</w:t>
      </w:r>
      <w:proofErr w:type="spellEnd"/>
      <w:r w:rsidR="00905422" w:rsidRPr="00B14ED8">
        <w:rPr>
          <w:rFonts w:ascii="Times New Roman" w:eastAsia="Times New Roman" w:hAnsi="Times New Roman" w:cs="Times New Roman"/>
          <w:sz w:val="24"/>
          <w:szCs w:val="24"/>
        </w:rPr>
        <w:t xml:space="preserve"> </w:t>
      </w:r>
      <w:proofErr w:type="spellStart"/>
      <w:r w:rsidR="00905422" w:rsidRPr="00B14ED8">
        <w:rPr>
          <w:rFonts w:ascii="Times New Roman" w:eastAsia="Times New Roman" w:hAnsi="Times New Roman" w:cs="Times New Roman"/>
          <w:sz w:val="24"/>
          <w:szCs w:val="24"/>
        </w:rPr>
        <w:t>dengan</w:t>
      </w:r>
      <w:proofErr w:type="spellEnd"/>
      <w:r w:rsidR="00905422" w:rsidRPr="00B14ED8">
        <w:rPr>
          <w:rFonts w:ascii="Times New Roman" w:eastAsia="Times New Roman" w:hAnsi="Times New Roman" w:cs="Times New Roman"/>
          <w:sz w:val="24"/>
          <w:szCs w:val="24"/>
        </w:rPr>
        <w:t xml:space="preserve"> </w:t>
      </w:r>
      <w:proofErr w:type="spellStart"/>
      <w:r w:rsidR="00905422" w:rsidRPr="00B14ED8">
        <w:rPr>
          <w:rFonts w:ascii="Times New Roman" w:eastAsia="Times New Roman" w:hAnsi="Times New Roman" w:cs="Times New Roman"/>
          <w:sz w:val="24"/>
          <w:szCs w:val="24"/>
        </w:rPr>
        <w:t>baik</w:t>
      </w:r>
      <w:proofErr w:type="spellEnd"/>
      <w:r w:rsidR="00905422" w:rsidRPr="00B14ED8">
        <w:rPr>
          <w:rFonts w:ascii="Times New Roman" w:eastAsia="Times New Roman" w:hAnsi="Times New Roman" w:cs="Times New Roman"/>
          <w:sz w:val="24"/>
          <w:szCs w:val="24"/>
        </w:rPr>
        <w:t xml:space="preserve"> </w:t>
      </w:r>
      <w:proofErr w:type="spellStart"/>
      <w:r w:rsidR="00905422" w:rsidRPr="00B14ED8">
        <w:rPr>
          <w:rFonts w:ascii="Times New Roman" w:eastAsia="Times New Roman" w:hAnsi="Times New Roman" w:cs="Times New Roman"/>
          <w:sz w:val="24"/>
          <w:szCs w:val="24"/>
        </w:rPr>
        <w:t>sehingga</w:t>
      </w:r>
      <w:proofErr w:type="spellEnd"/>
      <w:r w:rsidR="00905422" w:rsidRPr="00B14ED8">
        <w:rPr>
          <w:rFonts w:ascii="Times New Roman" w:eastAsia="Times New Roman" w:hAnsi="Times New Roman" w:cs="Times New Roman"/>
          <w:sz w:val="24"/>
          <w:szCs w:val="24"/>
        </w:rPr>
        <w:t xml:space="preserve"> </w:t>
      </w:r>
      <w:proofErr w:type="spellStart"/>
      <w:r w:rsidR="00905422" w:rsidRPr="00B14ED8">
        <w:rPr>
          <w:rFonts w:ascii="Times New Roman" w:eastAsia="Times New Roman" w:hAnsi="Times New Roman" w:cs="Times New Roman"/>
          <w:sz w:val="24"/>
          <w:szCs w:val="24"/>
        </w:rPr>
        <w:t>nilai</w:t>
      </w:r>
      <w:proofErr w:type="spellEnd"/>
      <w:r w:rsidR="00905422" w:rsidRPr="00B14ED8">
        <w:rPr>
          <w:rFonts w:ascii="Times New Roman" w:eastAsia="Times New Roman" w:hAnsi="Times New Roman" w:cs="Times New Roman"/>
          <w:sz w:val="24"/>
          <w:szCs w:val="24"/>
        </w:rPr>
        <w:t xml:space="preserve"> </w:t>
      </w:r>
      <w:proofErr w:type="spellStart"/>
      <w:r w:rsidR="00905422" w:rsidRPr="00B14ED8">
        <w:rPr>
          <w:rFonts w:ascii="Times New Roman" w:eastAsia="Times New Roman" w:hAnsi="Times New Roman" w:cs="Times New Roman"/>
          <w:sz w:val="24"/>
          <w:szCs w:val="24"/>
        </w:rPr>
        <w:t>hasil</w:t>
      </w:r>
      <w:proofErr w:type="spellEnd"/>
      <w:r w:rsidR="00905422" w:rsidRPr="00B14ED8">
        <w:rPr>
          <w:rFonts w:ascii="Times New Roman" w:eastAsia="Times New Roman" w:hAnsi="Times New Roman" w:cs="Times New Roman"/>
          <w:sz w:val="24"/>
          <w:szCs w:val="24"/>
        </w:rPr>
        <w:t xml:space="preserve"> </w:t>
      </w:r>
      <w:proofErr w:type="spellStart"/>
      <w:r w:rsidR="00905422" w:rsidRPr="00B14ED8">
        <w:rPr>
          <w:rFonts w:ascii="Times New Roman" w:eastAsia="Times New Roman" w:hAnsi="Times New Roman" w:cs="Times New Roman"/>
          <w:sz w:val="24"/>
          <w:szCs w:val="24"/>
        </w:rPr>
        <w:t>investasi</w:t>
      </w:r>
      <w:proofErr w:type="spellEnd"/>
      <w:r w:rsidR="00905422" w:rsidRPr="00B14ED8">
        <w:rPr>
          <w:rFonts w:ascii="Times New Roman" w:eastAsia="Times New Roman" w:hAnsi="Times New Roman" w:cs="Times New Roman"/>
          <w:sz w:val="24"/>
          <w:szCs w:val="24"/>
        </w:rPr>
        <w:t xml:space="preserve"> yang </w:t>
      </w:r>
      <w:proofErr w:type="spellStart"/>
      <w:r w:rsidR="00905422" w:rsidRPr="00B14ED8">
        <w:rPr>
          <w:rFonts w:ascii="Times New Roman" w:eastAsia="Times New Roman" w:hAnsi="Times New Roman" w:cs="Times New Roman"/>
          <w:sz w:val="24"/>
          <w:szCs w:val="24"/>
        </w:rPr>
        <w:t>diberikan</w:t>
      </w:r>
      <w:proofErr w:type="spellEnd"/>
      <w:r w:rsidR="00905422" w:rsidRPr="00B14ED8">
        <w:rPr>
          <w:rFonts w:ascii="Times New Roman" w:eastAsia="Times New Roman" w:hAnsi="Times New Roman" w:cs="Times New Roman"/>
          <w:sz w:val="24"/>
          <w:szCs w:val="24"/>
        </w:rPr>
        <w:t xml:space="preserve"> </w:t>
      </w:r>
      <w:proofErr w:type="spellStart"/>
      <w:r w:rsidR="00905422" w:rsidRPr="00B14ED8">
        <w:rPr>
          <w:rFonts w:ascii="Times New Roman" w:eastAsia="Times New Roman" w:hAnsi="Times New Roman" w:cs="Times New Roman"/>
          <w:sz w:val="24"/>
          <w:szCs w:val="24"/>
        </w:rPr>
        <w:t>mampu</w:t>
      </w:r>
      <w:proofErr w:type="spellEnd"/>
      <w:r w:rsidR="00905422" w:rsidRPr="00B14ED8">
        <w:rPr>
          <w:rFonts w:ascii="Times New Roman" w:eastAsia="Times New Roman" w:hAnsi="Times New Roman" w:cs="Times New Roman"/>
          <w:sz w:val="24"/>
          <w:szCs w:val="24"/>
        </w:rPr>
        <w:t xml:space="preserve"> </w:t>
      </w:r>
      <w:proofErr w:type="spellStart"/>
      <w:r w:rsidR="00905422" w:rsidRPr="00B14ED8">
        <w:rPr>
          <w:rFonts w:ascii="Times New Roman" w:eastAsia="Times New Roman" w:hAnsi="Times New Roman" w:cs="Times New Roman"/>
          <w:sz w:val="24"/>
          <w:szCs w:val="24"/>
        </w:rPr>
        <w:t>meningkatkan</w:t>
      </w:r>
      <w:proofErr w:type="spellEnd"/>
      <w:r w:rsidR="00905422" w:rsidRPr="00B14ED8">
        <w:rPr>
          <w:rFonts w:ascii="Times New Roman" w:eastAsia="Times New Roman" w:hAnsi="Times New Roman" w:cs="Times New Roman"/>
          <w:sz w:val="24"/>
          <w:szCs w:val="24"/>
        </w:rPr>
        <w:t xml:space="preserve"> </w:t>
      </w:r>
      <w:proofErr w:type="spellStart"/>
      <w:r w:rsidR="00905422" w:rsidRPr="00B14ED8">
        <w:rPr>
          <w:rFonts w:ascii="Times New Roman" w:eastAsia="Times New Roman" w:hAnsi="Times New Roman" w:cs="Times New Roman"/>
          <w:sz w:val="24"/>
          <w:szCs w:val="24"/>
        </w:rPr>
        <w:t>nilai</w:t>
      </w:r>
      <w:proofErr w:type="spellEnd"/>
      <w:r w:rsidR="00905422" w:rsidRPr="00B14ED8">
        <w:rPr>
          <w:rFonts w:ascii="Times New Roman" w:eastAsia="Times New Roman" w:hAnsi="Times New Roman" w:cs="Times New Roman"/>
          <w:sz w:val="24"/>
          <w:szCs w:val="24"/>
        </w:rPr>
        <w:t xml:space="preserve"> profit </w:t>
      </w:r>
      <w:proofErr w:type="spellStart"/>
      <w:r w:rsidR="00905422" w:rsidRPr="00B14ED8">
        <w:rPr>
          <w:rFonts w:ascii="Times New Roman" w:eastAsia="Times New Roman" w:hAnsi="Times New Roman" w:cs="Times New Roman"/>
          <w:sz w:val="24"/>
          <w:szCs w:val="24"/>
        </w:rPr>
        <w:t>bagi</w:t>
      </w:r>
      <w:proofErr w:type="spellEnd"/>
      <w:r w:rsidR="00905422" w:rsidRPr="00B14ED8">
        <w:rPr>
          <w:rFonts w:ascii="Times New Roman" w:eastAsia="Times New Roman" w:hAnsi="Times New Roman" w:cs="Times New Roman"/>
          <w:sz w:val="24"/>
          <w:szCs w:val="24"/>
        </w:rPr>
        <w:t xml:space="preserve"> </w:t>
      </w:r>
      <w:proofErr w:type="spellStart"/>
      <w:r w:rsidR="00905422" w:rsidRPr="00B14ED8">
        <w:rPr>
          <w:rFonts w:ascii="Times New Roman" w:eastAsia="Times New Roman" w:hAnsi="Times New Roman" w:cs="Times New Roman"/>
          <w:sz w:val="24"/>
          <w:szCs w:val="24"/>
        </w:rPr>
        <w:t>hasil</w:t>
      </w:r>
      <w:proofErr w:type="spellEnd"/>
      <w:r w:rsidR="00905422" w:rsidRPr="00B14ED8">
        <w:rPr>
          <w:rFonts w:ascii="Times New Roman" w:eastAsia="Times New Roman" w:hAnsi="Times New Roman" w:cs="Times New Roman"/>
          <w:sz w:val="24"/>
          <w:szCs w:val="24"/>
        </w:rPr>
        <w:t xml:space="preserve"> yang </w:t>
      </w:r>
      <w:proofErr w:type="spellStart"/>
      <w:r w:rsidR="00905422" w:rsidRPr="00B14ED8">
        <w:rPr>
          <w:rFonts w:ascii="Times New Roman" w:eastAsia="Times New Roman" w:hAnsi="Times New Roman" w:cs="Times New Roman"/>
          <w:sz w:val="24"/>
          <w:szCs w:val="24"/>
        </w:rPr>
        <w:t>didapatkan</w:t>
      </w:r>
      <w:proofErr w:type="spellEnd"/>
      <w:r w:rsidR="00905422" w:rsidRPr="00B14ED8">
        <w:rPr>
          <w:rFonts w:ascii="Times New Roman" w:eastAsia="Times New Roman" w:hAnsi="Times New Roman" w:cs="Times New Roman"/>
          <w:sz w:val="24"/>
          <w:szCs w:val="24"/>
        </w:rPr>
        <w:t xml:space="preserve"> </w:t>
      </w:r>
      <w:proofErr w:type="spellStart"/>
      <w:r w:rsidR="00905422" w:rsidRPr="00B14ED8">
        <w:rPr>
          <w:rFonts w:ascii="Times New Roman" w:eastAsia="Times New Roman" w:hAnsi="Times New Roman" w:cs="Times New Roman"/>
          <w:sz w:val="24"/>
          <w:szCs w:val="24"/>
        </w:rPr>
        <w:t>sehingga</w:t>
      </w:r>
      <w:proofErr w:type="spellEnd"/>
      <w:r w:rsidR="00905422" w:rsidRPr="00B14ED8">
        <w:rPr>
          <w:rFonts w:ascii="Times New Roman" w:eastAsia="Times New Roman" w:hAnsi="Times New Roman" w:cs="Times New Roman"/>
          <w:sz w:val="24"/>
          <w:szCs w:val="24"/>
        </w:rPr>
        <w:t xml:space="preserve"> </w:t>
      </w:r>
      <w:proofErr w:type="spellStart"/>
      <w:r w:rsidR="00905422" w:rsidRPr="00B14ED8">
        <w:rPr>
          <w:rFonts w:ascii="Times New Roman" w:eastAsia="Times New Roman" w:hAnsi="Times New Roman" w:cs="Times New Roman"/>
          <w:sz w:val="24"/>
          <w:szCs w:val="24"/>
        </w:rPr>
        <w:t>kinerja</w:t>
      </w:r>
      <w:proofErr w:type="spellEnd"/>
      <w:r w:rsidR="00905422" w:rsidRPr="00B14ED8">
        <w:rPr>
          <w:rFonts w:ascii="Times New Roman" w:eastAsia="Times New Roman" w:hAnsi="Times New Roman" w:cs="Times New Roman"/>
          <w:sz w:val="24"/>
          <w:szCs w:val="24"/>
        </w:rPr>
        <w:t xml:space="preserve"> </w:t>
      </w:r>
      <w:proofErr w:type="spellStart"/>
      <w:r w:rsidR="00905422" w:rsidRPr="00B14ED8">
        <w:rPr>
          <w:rFonts w:ascii="Times New Roman" w:eastAsia="Times New Roman" w:hAnsi="Times New Roman" w:cs="Times New Roman"/>
          <w:sz w:val="24"/>
          <w:szCs w:val="24"/>
        </w:rPr>
        <w:t>keuangan</w:t>
      </w:r>
      <w:proofErr w:type="spellEnd"/>
      <w:r w:rsidR="00905422" w:rsidRPr="00B14ED8">
        <w:rPr>
          <w:rFonts w:ascii="Times New Roman" w:eastAsia="Times New Roman" w:hAnsi="Times New Roman" w:cs="Times New Roman"/>
          <w:sz w:val="24"/>
          <w:szCs w:val="24"/>
        </w:rPr>
        <w:t xml:space="preserve"> yang </w:t>
      </w:r>
      <w:proofErr w:type="spellStart"/>
      <w:r w:rsidR="00905422" w:rsidRPr="00B14ED8">
        <w:rPr>
          <w:rFonts w:ascii="Times New Roman" w:eastAsia="Times New Roman" w:hAnsi="Times New Roman" w:cs="Times New Roman"/>
          <w:sz w:val="24"/>
          <w:szCs w:val="24"/>
        </w:rPr>
        <w:t>diperoleh</w:t>
      </w:r>
      <w:proofErr w:type="spellEnd"/>
      <w:r w:rsidR="00905422" w:rsidRPr="00B14ED8">
        <w:rPr>
          <w:rFonts w:ascii="Times New Roman" w:eastAsia="Times New Roman" w:hAnsi="Times New Roman" w:cs="Times New Roman"/>
          <w:sz w:val="24"/>
          <w:szCs w:val="24"/>
        </w:rPr>
        <w:t xml:space="preserve"> pada </w:t>
      </w:r>
      <w:proofErr w:type="spellStart"/>
      <w:r w:rsidR="00905422" w:rsidRPr="00B14ED8">
        <w:rPr>
          <w:rFonts w:ascii="Times New Roman" w:eastAsia="Times New Roman" w:hAnsi="Times New Roman" w:cs="Times New Roman"/>
          <w:sz w:val="24"/>
          <w:szCs w:val="24"/>
        </w:rPr>
        <w:t>periode</w:t>
      </w:r>
      <w:proofErr w:type="spellEnd"/>
      <w:r w:rsidR="00905422" w:rsidRPr="00B14ED8">
        <w:rPr>
          <w:rFonts w:ascii="Times New Roman" w:eastAsia="Times New Roman" w:hAnsi="Times New Roman" w:cs="Times New Roman"/>
          <w:sz w:val="24"/>
          <w:szCs w:val="24"/>
        </w:rPr>
        <w:t xml:space="preserve"> </w:t>
      </w:r>
      <w:proofErr w:type="spellStart"/>
      <w:r w:rsidR="00905422" w:rsidRPr="00B14ED8">
        <w:rPr>
          <w:rFonts w:ascii="Times New Roman" w:eastAsia="Times New Roman" w:hAnsi="Times New Roman" w:cs="Times New Roman"/>
          <w:sz w:val="24"/>
          <w:szCs w:val="24"/>
        </w:rPr>
        <w:t>waktu</w:t>
      </w:r>
      <w:proofErr w:type="spellEnd"/>
      <w:r w:rsidR="00905422" w:rsidRPr="00B14ED8">
        <w:rPr>
          <w:rFonts w:ascii="Times New Roman" w:eastAsia="Times New Roman" w:hAnsi="Times New Roman" w:cs="Times New Roman"/>
          <w:sz w:val="24"/>
          <w:szCs w:val="24"/>
        </w:rPr>
        <w:t xml:space="preserve"> </w:t>
      </w:r>
      <w:proofErr w:type="spellStart"/>
      <w:r w:rsidR="00905422" w:rsidRPr="00B14ED8">
        <w:rPr>
          <w:rFonts w:ascii="Times New Roman" w:eastAsia="Times New Roman" w:hAnsi="Times New Roman" w:cs="Times New Roman"/>
          <w:sz w:val="24"/>
          <w:szCs w:val="24"/>
        </w:rPr>
        <w:t>kerja</w:t>
      </w:r>
      <w:proofErr w:type="spellEnd"/>
      <w:r w:rsidR="00905422" w:rsidRPr="00B14ED8">
        <w:rPr>
          <w:rFonts w:ascii="Times New Roman" w:eastAsia="Times New Roman" w:hAnsi="Times New Roman" w:cs="Times New Roman"/>
          <w:sz w:val="24"/>
          <w:szCs w:val="24"/>
        </w:rPr>
        <w:t xml:space="preserve"> </w:t>
      </w:r>
      <w:proofErr w:type="spellStart"/>
      <w:r w:rsidR="00905422" w:rsidRPr="00B14ED8">
        <w:rPr>
          <w:rFonts w:ascii="Times New Roman" w:eastAsia="Times New Roman" w:hAnsi="Times New Roman" w:cs="Times New Roman"/>
          <w:sz w:val="24"/>
          <w:szCs w:val="24"/>
        </w:rPr>
        <w:t>dapat</w:t>
      </w:r>
      <w:proofErr w:type="spellEnd"/>
      <w:r w:rsidR="00905422" w:rsidRPr="00B14ED8">
        <w:rPr>
          <w:rFonts w:ascii="Times New Roman" w:eastAsia="Times New Roman" w:hAnsi="Times New Roman" w:cs="Times New Roman"/>
          <w:sz w:val="24"/>
          <w:szCs w:val="24"/>
        </w:rPr>
        <w:t xml:space="preserve"> </w:t>
      </w:r>
      <w:proofErr w:type="spellStart"/>
      <w:r w:rsidR="00905422" w:rsidRPr="00B14ED8">
        <w:rPr>
          <w:rFonts w:ascii="Times New Roman" w:eastAsia="Times New Roman" w:hAnsi="Times New Roman" w:cs="Times New Roman"/>
          <w:sz w:val="24"/>
          <w:szCs w:val="24"/>
        </w:rPr>
        <w:t>meningkat</w:t>
      </w:r>
      <w:proofErr w:type="spellEnd"/>
      <w:r w:rsidR="00905422" w:rsidRPr="00B14ED8">
        <w:rPr>
          <w:rFonts w:ascii="Times New Roman" w:eastAsia="Times New Roman" w:hAnsi="Times New Roman" w:cs="Times New Roman"/>
          <w:sz w:val="24"/>
          <w:szCs w:val="24"/>
        </w:rPr>
        <w:t xml:space="preserve"> </w:t>
      </w:r>
      <w:proofErr w:type="spellStart"/>
      <w:r w:rsidR="00905422" w:rsidRPr="00B14ED8">
        <w:rPr>
          <w:rFonts w:ascii="Times New Roman" w:eastAsia="Times New Roman" w:hAnsi="Times New Roman" w:cs="Times New Roman"/>
          <w:sz w:val="24"/>
          <w:szCs w:val="24"/>
        </w:rPr>
        <w:t>secara</w:t>
      </w:r>
      <w:proofErr w:type="spellEnd"/>
      <w:r w:rsidR="00905422" w:rsidRPr="00B14ED8">
        <w:rPr>
          <w:rFonts w:ascii="Times New Roman" w:eastAsia="Times New Roman" w:hAnsi="Times New Roman" w:cs="Times New Roman"/>
          <w:sz w:val="24"/>
          <w:szCs w:val="24"/>
        </w:rPr>
        <w:t xml:space="preserve"> </w:t>
      </w:r>
      <w:proofErr w:type="spellStart"/>
      <w:r w:rsidR="00905422" w:rsidRPr="00B14ED8">
        <w:rPr>
          <w:rFonts w:ascii="Times New Roman" w:eastAsia="Times New Roman" w:hAnsi="Times New Roman" w:cs="Times New Roman"/>
          <w:sz w:val="24"/>
          <w:szCs w:val="24"/>
        </w:rPr>
        <w:t>berkelanjutan</w:t>
      </w:r>
      <w:proofErr w:type="spellEnd"/>
      <w:r w:rsidR="00905422" w:rsidRPr="00B14ED8">
        <w:rPr>
          <w:rFonts w:ascii="Times New Roman" w:eastAsia="Times New Roman" w:hAnsi="Times New Roman" w:cs="Times New Roman"/>
          <w:sz w:val="24"/>
          <w:szCs w:val="24"/>
        </w:rPr>
        <w:t xml:space="preserve">. </w:t>
      </w:r>
      <w:r w:rsidR="008D4219" w:rsidRPr="00B14ED8">
        <w:rPr>
          <w:rFonts w:ascii="Times New Roman" w:eastAsia="Times New Roman" w:hAnsi="Times New Roman" w:cs="Times New Roman"/>
          <w:sz w:val="24"/>
          <w:szCs w:val="24"/>
        </w:rPr>
        <w:t xml:space="preserve">Dari </w:t>
      </w:r>
      <w:proofErr w:type="spellStart"/>
      <w:r w:rsidR="008D4219" w:rsidRPr="00B14ED8">
        <w:rPr>
          <w:rFonts w:ascii="Times New Roman" w:eastAsia="Times New Roman" w:hAnsi="Times New Roman" w:cs="Times New Roman"/>
          <w:sz w:val="24"/>
          <w:szCs w:val="24"/>
        </w:rPr>
        <w:t>penjelasan</w:t>
      </w:r>
      <w:proofErr w:type="spellEnd"/>
      <w:r w:rsidR="008D4219" w:rsidRPr="00B14ED8">
        <w:rPr>
          <w:rFonts w:ascii="Times New Roman" w:eastAsia="Times New Roman" w:hAnsi="Times New Roman" w:cs="Times New Roman"/>
          <w:sz w:val="24"/>
          <w:szCs w:val="24"/>
        </w:rPr>
        <w:t xml:space="preserve"> </w:t>
      </w:r>
      <w:proofErr w:type="spellStart"/>
      <w:r w:rsidR="008D5F3C" w:rsidRPr="00B14ED8">
        <w:rPr>
          <w:rFonts w:ascii="Times New Roman" w:eastAsia="Times New Roman" w:hAnsi="Times New Roman" w:cs="Times New Roman"/>
          <w:sz w:val="24"/>
          <w:szCs w:val="24"/>
        </w:rPr>
        <w:t>tersebut</w:t>
      </w:r>
      <w:proofErr w:type="spellEnd"/>
      <w:r w:rsidR="008D4219" w:rsidRPr="00B14ED8">
        <w:rPr>
          <w:rFonts w:ascii="Times New Roman" w:eastAsia="Times New Roman" w:hAnsi="Times New Roman" w:cs="Times New Roman"/>
          <w:sz w:val="24"/>
          <w:szCs w:val="24"/>
        </w:rPr>
        <w:t xml:space="preserve"> </w:t>
      </w:r>
      <w:proofErr w:type="spellStart"/>
      <w:r w:rsidR="008D4219" w:rsidRPr="00B14ED8">
        <w:rPr>
          <w:rFonts w:ascii="Times New Roman" w:eastAsia="Times New Roman" w:hAnsi="Times New Roman" w:cs="Times New Roman"/>
          <w:sz w:val="24"/>
          <w:szCs w:val="24"/>
        </w:rPr>
        <w:t>dapat</w:t>
      </w:r>
      <w:proofErr w:type="spellEnd"/>
      <w:r w:rsidR="008D4219" w:rsidRPr="00B14ED8">
        <w:rPr>
          <w:rFonts w:ascii="Times New Roman" w:eastAsia="Times New Roman" w:hAnsi="Times New Roman" w:cs="Times New Roman"/>
          <w:sz w:val="24"/>
          <w:szCs w:val="24"/>
        </w:rPr>
        <w:t xml:space="preserve"> </w:t>
      </w:r>
      <w:proofErr w:type="spellStart"/>
      <w:r w:rsidR="008D4219" w:rsidRPr="00B14ED8">
        <w:rPr>
          <w:rFonts w:ascii="Times New Roman" w:eastAsia="Times New Roman" w:hAnsi="Times New Roman" w:cs="Times New Roman"/>
          <w:sz w:val="24"/>
          <w:szCs w:val="24"/>
        </w:rPr>
        <w:t>diketahui</w:t>
      </w:r>
      <w:proofErr w:type="spellEnd"/>
      <w:r w:rsidR="008D4219" w:rsidRPr="00B14ED8">
        <w:rPr>
          <w:rFonts w:ascii="Times New Roman" w:eastAsia="Times New Roman" w:hAnsi="Times New Roman" w:cs="Times New Roman"/>
          <w:sz w:val="24"/>
          <w:szCs w:val="24"/>
        </w:rPr>
        <w:t xml:space="preserve"> </w:t>
      </w:r>
      <w:proofErr w:type="spellStart"/>
      <w:r w:rsidR="008D4219" w:rsidRPr="00B14ED8">
        <w:rPr>
          <w:rFonts w:ascii="Times New Roman" w:eastAsia="Times New Roman" w:hAnsi="Times New Roman" w:cs="Times New Roman"/>
          <w:sz w:val="24"/>
          <w:szCs w:val="24"/>
        </w:rPr>
        <w:t>bahwa</w:t>
      </w:r>
      <w:proofErr w:type="spellEnd"/>
      <w:r w:rsidR="008D4219" w:rsidRPr="00B14ED8">
        <w:rPr>
          <w:rFonts w:ascii="Times New Roman" w:eastAsia="Times New Roman" w:hAnsi="Times New Roman" w:cs="Times New Roman"/>
          <w:sz w:val="24"/>
          <w:szCs w:val="24"/>
        </w:rPr>
        <w:t xml:space="preserve"> </w:t>
      </w:r>
      <w:proofErr w:type="spellStart"/>
      <w:r w:rsidR="008D4219" w:rsidRPr="00B14ED8">
        <w:rPr>
          <w:rFonts w:ascii="Times New Roman" w:eastAsia="Times New Roman" w:hAnsi="Times New Roman" w:cs="Times New Roman"/>
          <w:sz w:val="24"/>
          <w:szCs w:val="24"/>
        </w:rPr>
        <w:t>pembiayaan</w:t>
      </w:r>
      <w:proofErr w:type="spellEnd"/>
      <w:r w:rsidR="008D4219" w:rsidRPr="00B14ED8">
        <w:rPr>
          <w:rFonts w:ascii="Times New Roman" w:eastAsia="Times New Roman" w:hAnsi="Times New Roman" w:cs="Times New Roman"/>
          <w:sz w:val="24"/>
          <w:szCs w:val="24"/>
        </w:rPr>
        <w:t xml:space="preserve"> </w:t>
      </w:r>
      <w:proofErr w:type="spellStart"/>
      <w:r w:rsidR="008D4219" w:rsidRPr="00B14ED8">
        <w:rPr>
          <w:rFonts w:ascii="Times New Roman" w:eastAsia="Times New Roman" w:hAnsi="Times New Roman" w:cs="Times New Roman"/>
          <w:i/>
          <w:iCs/>
          <w:sz w:val="24"/>
          <w:szCs w:val="24"/>
        </w:rPr>
        <w:t>mudharabah</w:t>
      </w:r>
      <w:proofErr w:type="spellEnd"/>
      <w:r w:rsidR="008D4219" w:rsidRPr="00B14ED8">
        <w:rPr>
          <w:rFonts w:ascii="Times New Roman" w:eastAsia="Times New Roman" w:hAnsi="Times New Roman" w:cs="Times New Roman"/>
          <w:i/>
          <w:iCs/>
          <w:sz w:val="24"/>
          <w:szCs w:val="24"/>
        </w:rPr>
        <w:t xml:space="preserve"> </w:t>
      </w:r>
      <w:proofErr w:type="spellStart"/>
      <w:r w:rsidR="008936DF" w:rsidRPr="00B14ED8">
        <w:rPr>
          <w:rFonts w:ascii="Times New Roman" w:eastAsia="Times New Roman" w:hAnsi="Times New Roman" w:cs="Times New Roman"/>
          <w:sz w:val="24"/>
          <w:szCs w:val="24"/>
        </w:rPr>
        <w:t>sebenarnya</w:t>
      </w:r>
      <w:proofErr w:type="spellEnd"/>
      <w:r w:rsidR="008936DF" w:rsidRPr="00B14ED8">
        <w:rPr>
          <w:rFonts w:ascii="Times New Roman" w:eastAsia="Times New Roman" w:hAnsi="Times New Roman" w:cs="Times New Roman"/>
          <w:sz w:val="24"/>
          <w:szCs w:val="24"/>
        </w:rPr>
        <w:t xml:space="preserve"> </w:t>
      </w:r>
      <w:proofErr w:type="spellStart"/>
      <w:r w:rsidR="008D4219" w:rsidRPr="00B14ED8">
        <w:rPr>
          <w:rFonts w:ascii="Times New Roman" w:eastAsia="Times New Roman" w:hAnsi="Times New Roman" w:cs="Times New Roman"/>
          <w:sz w:val="24"/>
          <w:szCs w:val="24"/>
        </w:rPr>
        <w:t>mempunyai</w:t>
      </w:r>
      <w:proofErr w:type="spellEnd"/>
      <w:r w:rsidR="008D4219" w:rsidRPr="00B14ED8">
        <w:rPr>
          <w:rFonts w:ascii="Times New Roman" w:eastAsia="Times New Roman" w:hAnsi="Times New Roman" w:cs="Times New Roman"/>
          <w:sz w:val="24"/>
          <w:szCs w:val="24"/>
        </w:rPr>
        <w:t xml:space="preserve"> </w:t>
      </w:r>
      <w:proofErr w:type="spellStart"/>
      <w:r w:rsidR="008D4219" w:rsidRPr="00B14ED8">
        <w:rPr>
          <w:rFonts w:ascii="Times New Roman" w:eastAsia="Times New Roman" w:hAnsi="Times New Roman" w:cs="Times New Roman"/>
          <w:sz w:val="24"/>
          <w:szCs w:val="24"/>
        </w:rPr>
        <w:t>prospek</w:t>
      </w:r>
      <w:proofErr w:type="spellEnd"/>
      <w:r w:rsidR="008D4219" w:rsidRPr="00B14ED8">
        <w:rPr>
          <w:rFonts w:ascii="Times New Roman" w:eastAsia="Times New Roman" w:hAnsi="Times New Roman" w:cs="Times New Roman"/>
          <w:sz w:val="24"/>
          <w:szCs w:val="24"/>
        </w:rPr>
        <w:t xml:space="preserve"> </w:t>
      </w:r>
      <w:proofErr w:type="spellStart"/>
      <w:r w:rsidR="008D4219" w:rsidRPr="00B14ED8">
        <w:rPr>
          <w:rFonts w:ascii="Times New Roman" w:eastAsia="Times New Roman" w:hAnsi="Times New Roman" w:cs="Times New Roman"/>
          <w:sz w:val="24"/>
          <w:szCs w:val="24"/>
        </w:rPr>
        <w:t>keuntungan</w:t>
      </w:r>
      <w:proofErr w:type="spellEnd"/>
      <w:r w:rsidR="008D4219" w:rsidRPr="00B14ED8">
        <w:rPr>
          <w:rFonts w:ascii="Times New Roman" w:eastAsia="Times New Roman" w:hAnsi="Times New Roman" w:cs="Times New Roman"/>
          <w:sz w:val="24"/>
          <w:szCs w:val="24"/>
        </w:rPr>
        <w:t xml:space="preserve"> yang </w:t>
      </w:r>
      <w:proofErr w:type="spellStart"/>
      <w:r w:rsidR="008D4219" w:rsidRPr="00B14ED8">
        <w:rPr>
          <w:rFonts w:ascii="Times New Roman" w:eastAsia="Times New Roman" w:hAnsi="Times New Roman" w:cs="Times New Roman"/>
          <w:sz w:val="24"/>
          <w:szCs w:val="24"/>
        </w:rPr>
        <w:t>besar</w:t>
      </w:r>
      <w:proofErr w:type="spellEnd"/>
      <w:r w:rsidR="008D4219" w:rsidRPr="00B14ED8">
        <w:rPr>
          <w:rFonts w:ascii="Times New Roman" w:eastAsia="Times New Roman" w:hAnsi="Times New Roman" w:cs="Times New Roman"/>
          <w:sz w:val="24"/>
          <w:szCs w:val="24"/>
        </w:rPr>
        <w:t xml:space="preserve"> </w:t>
      </w:r>
      <w:proofErr w:type="spellStart"/>
      <w:r w:rsidR="008D4219" w:rsidRPr="00B14ED8">
        <w:rPr>
          <w:rFonts w:ascii="Times New Roman" w:eastAsia="Times New Roman" w:hAnsi="Times New Roman" w:cs="Times New Roman"/>
          <w:sz w:val="24"/>
          <w:szCs w:val="24"/>
        </w:rPr>
        <w:t>bagi</w:t>
      </w:r>
      <w:proofErr w:type="spellEnd"/>
      <w:r w:rsidR="008D4219" w:rsidRPr="00B14ED8">
        <w:rPr>
          <w:rFonts w:ascii="Times New Roman" w:eastAsia="Times New Roman" w:hAnsi="Times New Roman" w:cs="Times New Roman"/>
          <w:sz w:val="24"/>
          <w:szCs w:val="24"/>
        </w:rPr>
        <w:t xml:space="preserve"> </w:t>
      </w:r>
      <w:proofErr w:type="spellStart"/>
      <w:r w:rsidR="008D4219" w:rsidRPr="00B14ED8">
        <w:rPr>
          <w:rFonts w:ascii="Times New Roman" w:eastAsia="Times New Roman" w:hAnsi="Times New Roman" w:cs="Times New Roman"/>
          <w:sz w:val="24"/>
          <w:szCs w:val="24"/>
        </w:rPr>
        <w:t>pihak</w:t>
      </w:r>
      <w:proofErr w:type="spellEnd"/>
      <w:r w:rsidR="008D4219" w:rsidRPr="00B14ED8">
        <w:rPr>
          <w:rFonts w:ascii="Times New Roman" w:eastAsia="Times New Roman" w:hAnsi="Times New Roman" w:cs="Times New Roman"/>
          <w:sz w:val="24"/>
          <w:szCs w:val="24"/>
        </w:rPr>
        <w:t xml:space="preserve"> </w:t>
      </w:r>
      <w:proofErr w:type="spellStart"/>
      <w:r w:rsidR="008D4219" w:rsidRPr="00B14ED8">
        <w:rPr>
          <w:rFonts w:ascii="Times New Roman" w:eastAsia="Times New Roman" w:hAnsi="Times New Roman" w:cs="Times New Roman"/>
          <w:sz w:val="24"/>
          <w:szCs w:val="24"/>
        </w:rPr>
        <w:t>perbankan</w:t>
      </w:r>
      <w:proofErr w:type="spellEnd"/>
      <w:r w:rsidR="008D4219" w:rsidRPr="00B14ED8">
        <w:rPr>
          <w:rFonts w:ascii="Times New Roman" w:eastAsia="Times New Roman" w:hAnsi="Times New Roman" w:cs="Times New Roman"/>
          <w:sz w:val="24"/>
          <w:szCs w:val="24"/>
        </w:rPr>
        <w:t xml:space="preserve"> </w:t>
      </w:r>
      <w:proofErr w:type="spellStart"/>
      <w:r w:rsidR="008D4219" w:rsidRPr="00B14ED8">
        <w:rPr>
          <w:rFonts w:ascii="Times New Roman" w:eastAsia="Times New Roman" w:hAnsi="Times New Roman" w:cs="Times New Roman"/>
          <w:sz w:val="24"/>
          <w:szCs w:val="24"/>
        </w:rPr>
        <w:t>maupun</w:t>
      </w:r>
      <w:proofErr w:type="spellEnd"/>
      <w:r w:rsidR="008D4219" w:rsidRPr="00B14ED8">
        <w:rPr>
          <w:rFonts w:ascii="Times New Roman" w:eastAsia="Times New Roman" w:hAnsi="Times New Roman" w:cs="Times New Roman"/>
          <w:sz w:val="24"/>
          <w:szCs w:val="24"/>
        </w:rPr>
        <w:t xml:space="preserve"> </w:t>
      </w:r>
      <w:proofErr w:type="spellStart"/>
      <w:r w:rsidR="008D4219" w:rsidRPr="00B14ED8">
        <w:rPr>
          <w:rFonts w:ascii="Times New Roman" w:eastAsia="Times New Roman" w:hAnsi="Times New Roman" w:cs="Times New Roman"/>
          <w:sz w:val="24"/>
          <w:szCs w:val="24"/>
        </w:rPr>
        <w:t>pihak</w:t>
      </w:r>
      <w:proofErr w:type="spellEnd"/>
      <w:r w:rsidR="008D4219" w:rsidRPr="00B14ED8">
        <w:rPr>
          <w:rFonts w:ascii="Times New Roman" w:eastAsia="Times New Roman" w:hAnsi="Times New Roman" w:cs="Times New Roman"/>
          <w:sz w:val="24"/>
          <w:szCs w:val="24"/>
        </w:rPr>
        <w:t xml:space="preserve"> </w:t>
      </w:r>
      <w:proofErr w:type="spellStart"/>
      <w:r w:rsidR="008D4219" w:rsidRPr="00B14ED8">
        <w:rPr>
          <w:rFonts w:ascii="Times New Roman" w:eastAsia="Times New Roman" w:hAnsi="Times New Roman" w:cs="Times New Roman"/>
          <w:i/>
          <w:iCs/>
          <w:sz w:val="24"/>
          <w:szCs w:val="24"/>
        </w:rPr>
        <w:t>mudharib</w:t>
      </w:r>
      <w:proofErr w:type="spellEnd"/>
      <w:r w:rsidR="008D4219" w:rsidRPr="00B14ED8">
        <w:rPr>
          <w:rFonts w:ascii="Times New Roman" w:eastAsia="Times New Roman" w:hAnsi="Times New Roman" w:cs="Times New Roman"/>
          <w:i/>
          <w:iCs/>
          <w:sz w:val="24"/>
          <w:szCs w:val="24"/>
        </w:rPr>
        <w:t xml:space="preserve"> </w:t>
      </w:r>
      <w:proofErr w:type="spellStart"/>
      <w:r w:rsidR="008D4219" w:rsidRPr="00B14ED8">
        <w:rPr>
          <w:rFonts w:ascii="Times New Roman" w:eastAsia="Times New Roman" w:hAnsi="Times New Roman" w:cs="Times New Roman"/>
          <w:sz w:val="24"/>
          <w:szCs w:val="24"/>
        </w:rPr>
        <w:t>akan</w:t>
      </w:r>
      <w:proofErr w:type="spellEnd"/>
      <w:r w:rsidR="008D4219" w:rsidRPr="00B14ED8">
        <w:rPr>
          <w:rFonts w:ascii="Times New Roman" w:eastAsia="Times New Roman" w:hAnsi="Times New Roman" w:cs="Times New Roman"/>
          <w:sz w:val="24"/>
          <w:szCs w:val="24"/>
        </w:rPr>
        <w:t xml:space="preserve"> </w:t>
      </w:r>
      <w:proofErr w:type="spellStart"/>
      <w:r w:rsidR="008D4219" w:rsidRPr="00B14ED8">
        <w:rPr>
          <w:rFonts w:ascii="Times New Roman" w:eastAsia="Times New Roman" w:hAnsi="Times New Roman" w:cs="Times New Roman"/>
          <w:sz w:val="24"/>
          <w:szCs w:val="24"/>
        </w:rPr>
        <w:t>tetapi</w:t>
      </w:r>
      <w:proofErr w:type="spellEnd"/>
      <w:r w:rsidR="008D4219" w:rsidRPr="00B14ED8">
        <w:rPr>
          <w:rFonts w:ascii="Times New Roman" w:eastAsia="Times New Roman" w:hAnsi="Times New Roman" w:cs="Times New Roman"/>
          <w:sz w:val="24"/>
          <w:szCs w:val="24"/>
        </w:rPr>
        <w:t xml:space="preserve"> </w:t>
      </w:r>
      <w:proofErr w:type="spellStart"/>
      <w:r w:rsidR="008D4219" w:rsidRPr="00B14ED8">
        <w:rPr>
          <w:rFonts w:ascii="Times New Roman" w:eastAsia="Times New Roman" w:hAnsi="Times New Roman" w:cs="Times New Roman"/>
          <w:sz w:val="24"/>
          <w:szCs w:val="24"/>
        </w:rPr>
        <w:t>nilai</w:t>
      </w:r>
      <w:proofErr w:type="spellEnd"/>
      <w:r w:rsidR="008D4219" w:rsidRPr="00B14ED8">
        <w:rPr>
          <w:rFonts w:ascii="Times New Roman" w:eastAsia="Times New Roman" w:hAnsi="Times New Roman" w:cs="Times New Roman"/>
          <w:sz w:val="24"/>
          <w:szCs w:val="24"/>
        </w:rPr>
        <w:t xml:space="preserve"> </w:t>
      </w:r>
      <w:proofErr w:type="spellStart"/>
      <w:r w:rsidR="008D4219" w:rsidRPr="00B14ED8">
        <w:rPr>
          <w:rFonts w:ascii="Times New Roman" w:eastAsia="Times New Roman" w:hAnsi="Times New Roman" w:cs="Times New Roman"/>
          <w:sz w:val="24"/>
          <w:szCs w:val="24"/>
        </w:rPr>
        <w:t>realisasinya</w:t>
      </w:r>
      <w:proofErr w:type="spellEnd"/>
      <w:r w:rsidR="008D4219" w:rsidRPr="00B14ED8">
        <w:rPr>
          <w:rFonts w:ascii="Times New Roman" w:eastAsia="Times New Roman" w:hAnsi="Times New Roman" w:cs="Times New Roman"/>
          <w:sz w:val="24"/>
          <w:szCs w:val="24"/>
        </w:rPr>
        <w:t xml:space="preserve"> </w:t>
      </w:r>
      <w:proofErr w:type="spellStart"/>
      <w:r w:rsidR="008D4219" w:rsidRPr="00B14ED8">
        <w:rPr>
          <w:rFonts w:ascii="Times New Roman" w:eastAsia="Times New Roman" w:hAnsi="Times New Roman" w:cs="Times New Roman"/>
          <w:sz w:val="24"/>
          <w:szCs w:val="24"/>
        </w:rPr>
        <w:t>justru</w:t>
      </w:r>
      <w:proofErr w:type="spellEnd"/>
      <w:r w:rsidR="008D4219" w:rsidRPr="00B14ED8">
        <w:rPr>
          <w:rFonts w:ascii="Times New Roman" w:eastAsia="Times New Roman" w:hAnsi="Times New Roman" w:cs="Times New Roman"/>
          <w:sz w:val="24"/>
          <w:szCs w:val="24"/>
        </w:rPr>
        <w:t xml:space="preserve"> </w:t>
      </w:r>
      <w:proofErr w:type="spellStart"/>
      <w:r w:rsidR="00FF1220" w:rsidRPr="00B14ED8">
        <w:rPr>
          <w:rFonts w:ascii="Times New Roman" w:eastAsia="Times New Roman" w:hAnsi="Times New Roman" w:cs="Times New Roman"/>
          <w:sz w:val="24"/>
          <w:szCs w:val="24"/>
        </w:rPr>
        <w:t>dari</w:t>
      </w:r>
      <w:proofErr w:type="spellEnd"/>
      <w:r w:rsidR="00FF1220" w:rsidRPr="00B14ED8">
        <w:rPr>
          <w:rFonts w:ascii="Times New Roman" w:eastAsia="Times New Roman" w:hAnsi="Times New Roman" w:cs="Times New Roman"/>
          <w:sz w:val="24"/>
          <w:szCs w:val="24"/>
        </w:rPr>
        <w:t xml:space="preserve"> </w:t>
      </w:r>
      <w:proofErr w:type="spellStart"/>
      <w:r w:rsidR="00FF1220" w:rsidRPr="00B14ED8">
        <w:rPr>
          <w:rFonts w:ascii="Times New Roman" w:eastAsia="Times New Roman" w:hAnsi="Times New Roman" w:cs="Times New Roman"/>
          <w:sz w:val="24"/>
          <w:szCs w:val="24"/>
        </w:rPr>
        <w:t>tahun</w:t>
      </w:r>
      <w:proofErr w:type="spellEnd"/>
      <w:r w:rsidR="00FF1220" w:rsidRPr="00B14ED8">
        <w:rPr>
          <w:rFonts w:ascii="Times New Roman" w:eastAsia="Times New Roman" w:hAnsi="Times New Roman" w:cs="Times New Roman"/>
          <w:sz w:val="24"/>
          <w:szCs w:val="24"/>
        </w:rPr>
        <w:t xml:space="preserve"> </w:t>
      </w:r>
      <w:proofErr w:type="spellStart"/>
      <w:r w:rsidR="00FF1220" w:rsidRPr="00B14ED8">
        <w:rPr>
          <w:rFonts w:ascii="Times New Roman" w:eastAsia="Times New Roman" w:hAnsi="Times New Roman" w:cs="Times New Roman"/>
          <w:sz w:val="24"/>
          <w:szCs w:val="24"/>
        </w:rPr>
        <w:t>ke</w:t>
      </w:r>
      <w:proofErr w:type="spellEnd"/>
      <w:r w:rsidR="00FF1220" w:rsidRPr="00B14ED8">
        <w:rPr>
          <w:rFonts w:ascii="Times New Roman" w:eastAsia="Times New Roman" w:hAnsi="Times New Roman" w:cs="Times New Roman"/>
          <w:sz w:val="24"/>
          <w:szCs w:val="24"/>
        </w:rPr>
        <w:t xml:space="preserve"> </w:t>
      </w:r>
      <w:proofErr w:type="spellStart"/>
      <w:r w:rsidR="00FF1220" w:rsidRPr="00B14ED8">
        <w:rPr>
          <w:rFonts w:ascii="Times New Roman" w:eastAsia="Times New Roman" w:hAnsi="Times New Roman" w:cs="Times New Roman"/>
          <w:sz w:val="24"/>
          <w:szCs w:val="24"/>
        </w:rPr>
        <w:t>tahun</w:t>
      </w:r>
      <w:proofErr w:type="spellEnd"/>
      <w:r w:rsidR="00FF1220" w:rsidRPr="00B14ED8">
        <w:rPr>
          <w:rFonts w:ascii="Times New Roman" w:eastAsia="Times New Roman" w:hAnsi="Times New Roman" w:cs="Times New Roman"/>
          <w:sz w:val="24"/>
          <w:szCs w:val="24"/>
        </w:rPr>
        <w:t xml:space="preserve"> </w:t>
      </w:r>
      <w:proofErr w:type="spellStart"/>
      <w:r w:rsidR="00FF1220" w:rsidRPr="00B14ED8">
        <w:rPr>
          <w:rFonts w:ascii="Times New Roman" w:eastAsia="Times New Roman" w:hAnsi="Times New Roman" w:cs="Times New Roman"/>
          <w:sz w:val="24"/>
          <w:szCs w:val="24"/>
        </w:rPr>
        <w:t>mengalami</w:t>
      </w:r>
      <w:proofErr w:type="spellEnd"/>
      <w:r w:rsidR="00FF1220" w:rsidRPr="00B14ED8">
        <w:rPr>
          <w:rFonts w:ascii="Times New Roman" w:eastAsia="Times New Roman" w:hAnsi="Times New Roman" w:cs="Times New Roman"/>
          <w:sz w:val="24"/>
          <w:szCs w:val="24"/>
        </w:rPr>
        <w:t xml:space="preserve"> </w:t>
      </w:r>
      <w:proofErr w:type="spellStart"/>
      <w:r w:rsidR="00FF1220" w:rsidRPr="00B14ED8">
        <w:rPr>
          <w:rFonts w:ascii="Times New Roman" w:eastAsia="Times New Roman" w:hAnsi="Times New Roman" w:cs="Times New Roman"/>
          <w:sz w:val="24"/>
          <w:szCs w:val="24"/>
        </w:rPr>
        <w:t>penurunan</w:t>
      </w:r>
      <w:proofErr w:type="spellEnd"/>
      <w:r w:rsidR="00FF1220" w:rsidRPr="00B14ED8">
        <w:rPr>
          <w:rFonts w:ascii="Times New Roman" w:eastAsia="Times New Roman" w:hAnsi="Times New Roman" w:cs="Times New Roman"/>
          <w:sz w:val="24"/>
          <w:szCs w:val="24"/>
        </w:rPr>
        <w:t xml:space="preserve"> </w:t>
      </w:r>
      <w:proofErr w:type="spellStart"/>
      <w:r w:rsidR="00FF1220" w:rsidRPr="00B14ED8">
        <w:rPr>
          <w:rFonts w:ascii="Times New Roman" w:eastAsia="Times New Roman" w:hAnsi="Times New Roman" w:cs="Times New Roman"/>
          <w:sz w:val="24"/>
          <w:szCs w:val="24"/>
        </w:rPr>
        <w:t>dikarenakan</w:t>
      </w:r>
      <w:proofErr w:type="spellEnd"/>
      <w:r w:rsidR="00FF1220" w:rsidRPr="00B14ED8">
        <w:rPr>
          <w:rFonts w:ascii="Times New Roman" w:eastAsia="Times New Roman" w:hAnsi="Times New Roman" w:cs="Times New Roman"/>
          <w:sz w:val="24"/>
          <w:szCs w:val="24"/>
        </w:rPr>
        <w:t xml:space="preserve"> </w:t>
      </w:r>
      <w:proofErr w:type="spellStart"/>
      <w:r w:rsidR="00FF1220" w:rsidRPr="00B14ED8">
        <w:rPr>
          <w:rFonts w:ascii="Times New Roman" w:eastAsia="Times New Roman" w:hAnsi="Times New Roman" w:cs="Times New Roman"/>
          <w:sz w:val="24"/>
          <w:szCs w:val="24"/>
        </w:rPr>
        <w:t>pihak</w:t>
      </w:r>
      <w:proofErr w:type="spellEnd"/>
      <w:r w:rsidR="00FF1220" w:rsidRPr="00B14ED8">
        <w:rPr>
          <w:rFonts w:ascii="Times New Roman" w:eastAsia="Times New Roman" w:hAnsi="Times New Roman" w:cs="Times New Roman"/>
          <w:sz w:val="24"/>
          <w:szCs w:val="24"/>
        </w:rPr>
        <w:t xml:space="preserve"> </w:t>
      </w:r>
      <w:proofErr w:type="spellStart"/>
      <w:r w:rsidR="00FF1220" w:rsidRPr="00B14ED8">
        <w:rPr>
          <w:rFonts w:ascii="Times New Roman" w:eastAsia="Times New Roman" w:hAnsi="Times New Roman" w:cs="Times New Roman"/>
          <w:sz w:val="24"/>
          <w:szCs w:val="24"/>
        </w:rPr>
        <w:t>perbankan</w:t>
      </w:r>
      <w:proofErr w:type="spellEnd"/>
      <w:r w:rsidR="00FF1220" w:rsidRPr="00B14ED8">
        <w:rPr>
          <w:rFonts w:ascii="Times New Roman" w:eastAsia="Times New Roman" w:hAnsi="Times New Roman" w:cs="Times New Roman"/>
          <w:sz w:val="24"/>
          <w:szCs w:val="24"/>
        </w:rPr>
        <w:t xml:space="preserve"> </w:t>
      </w:r>
      <w:proofErr w:type="spellStart"/>
      <w:r w:rsidR="00D44193" w:rsidRPr="00B14ED8">
        <w:rPr>
          <w:rFonts w:ascii="Times New Roman" w:eastAsia="Times New Roman" w:hAnsi="Times New Roman" w:cs="Times New Roman"/>
          <w:sz w:val="24"/>
          <w:szCs w:val="24"/>
        </w:rPr>
        <w:t>lebih</w:t>
      </w:r>
      <w:proofErr w:type="spellEnd"/>
      <w:r w:rsidR="00D44193" w:rsidRPr="00B14ED8">
        <w:rPr>
          <w:rFonts w:ascii="Times New Roman" w:eastAsia="Times New Roman" w:hAnsi="Times New Roman" w:cs="Times New Roman"/>
          <w:sz w:val="24"/>
          <w:szCs w:val="24"/>
        </w:rPr>
        <w:t xml:space="preserve"> </w:t>
      </w:r>
      <w:proofErr w:type="spellStart"/>
      <w:r w:rsidR="00D44193" w:rsidRPr="00B14ED8">
        <w:rPr>
          <w:rFonts w:ascii="Times New Roman" w:eastAsia="Times New Roman" w:hAnsi="Times New Roman" w:cs="Times New Roman"/>
          <w:sz w:val="24"/>
          <w:szCs w:val="24"/>
        </w:rPr>
        <w:t>bersifat</w:t>
      </w:r>
      <w:proofErr w:type="spellEnd"/>
      <w:r w:rsidR="00D44193" w:rsidRPr="00B14ED8">
        <w:rPr>
          <w:rFonts w:ascii="Times New Roman" w:eastAsia="Times New Roman" w:hAnsi="Times New Roman" w:cs="Times New Roman"/>
          <w:sz w:val="24"/>
          <w:szCs w:val="24"/>
        </w:rPr>
        <w:t xml:space="preserve"> </w:t>
      </w:r>
      <w:r w:rsidR="00D44193" w:rsidRPr="00B14ED8">
        <w:rPr>
          <w:rFonts w:ascii="Times New Roman" w:eastAsia="Times New Roman" w:hAnsi="Times New Roman" w:cs="Times New Roman"/>
          <w:i/>
          <w:iCs/>
          <w:sz w:val="24"/>
          <w:szCs w:val="24"/>
        </w:rPr>
        <w:t xml:space="preserve">risk averse </w:t>
      </w:r>
      <w:proofErr w:type="spellStart"/>
      <w:r w:rsidR="00D44193" w:rsidRPr="00B14ED8">
        <w:rPr>
          <w:rFonts w:ascii="Times New Roman" w:eastAsia="Times New Roman" w:hAnsi="Times New Roman" w:cs="Times New Roman"/>
          <w:sz w:val="24"/>
          <w:szCs w:val="24"/>
        </w:rPr>
        <w:t>atau</w:t>
      </w:r>
      <w:proofErr w:type="spellEnd"/>
      <w:r w:rsidR="00D44193" w:rsidRPr="00B14ED8">
        <w:rPr>
          <w:rFonts w:ascii="Times New Roman" w:eastAsia="Times New Roman" w:hAnsi="Times New Roman" w:cs="Times New Roman"/>
          <w:sz w:val="24"/>
          <w:szCs w:val="24"/>
        </w:rPr>
        <w:t xml:space="preserve"> </w:t>
      </w:r>
      <w:proofErr w:type="spellStart"/>
      <w:r w:rsidR="00D44193" w:rsidRPr="00B14ED8">
        <w:rPr>
          <w:rFonts w:ascii="Times New Roman" w:eastAsia="Times New Roman" w:hAnsi="Times New Roman" w:cs="Times New Roman"/>
          <w:sz w:val="24"/>
          <w:szCs w:val="24"/>
        </w:rPr>
        <w:t>menghindari</w:t>
      </w:r>
      <w:proofErr w:type="spellEnd"/>
      <w:r w:rsidR="00D44193" w:rsidRPr="00B14ED8">
        <w:rPr>
          <w:rFonts w:ascii="Times New Roman" w:eastAsia="Times New Roman" w:hAnsi="Times New Roman" w:cs="Times New Roman"/>
          <w:sz w:val="24"/>
          <w:szCs w:val="24"/>
        </w:rPr>
        <w:t xml:space="preserve"> </w:t>
      </w:r>
      <w:proofErr w:type="spellStart"/>
      <w:r w:rsidR="00D44193" w:rsidRPr="00B14ED8">
        <w:rPr>
          <w:rFonts w:ascii="Times New Roman" w:eastAsia="Times New Roman" w:hAnsi="Times New Roman" w:cs="Times New Roman"/>
          <w:sz w:val="24"/>
          <w:szCs w:val="24"/>
        </w:rPr>
        <w:t>potensi</w:t>
      </w:r>
      <w:proofErr w:type="spellEnd"/>
      <w:r w:rsidR="00D44193" w:rsidRPr="00B14ED8">
        <w:rPr>
          <w:rFonts w:ascii="Times New Roman" w:eastAsia="Times New Roman" w:hAnsi="Times New Roman" w:cs="Times New Roman"/>
          <w:sz w:val="24"/>
          <w:szCs w:val="24"/>
        </w:rPr>
        <w:t xml:space="preserve"> </w:t>
      </w:r>
      <w:proofErr w:type="spellStart"/>
      <w:r w:rsidR="00D44193" w:rsidRPr="00B14ED8">
        <w:rPr>
          <w:rFonts w:ascii="Times New Roman" w:eastAsia="Times New Roman" w:hAnsi="Times New Roman" w:cs="Times New Roman"/>
          <w:sz w:val="24"/>
          <w:szCs w:val="24"/>
        </w:rPr>
        <w:t>risiko</w:t>
      </w:r>
      <w:proofErr w:type="spellEnd"/>
      <w:r w:rsidR="00D44193" w:rsidRPr="00B14ED8">
        <w:rPr>
          <w:rFonts w:ascii="Times New Roman" w:eastAsia="Times New Roman" w:hAnsi="Times New Roman" w:cs="Times New Roman"/>
          <w:sz w:val="24"/>
          <w:szCs w:val="24"/>
        </w:rPr>
        <w:t xml:space="preserve"> </w:t>
      </w:r>
      <w:proofErr w:type="spellStart"/>
      <w:r w:rsidR="00D44193" w:rsidRPr="00B14ED8">
        <w:rPr>
          <w:rFonts w:ascii="Times New Roman" w:eastAsia="Times New Roman" w:hAnsi="Times New Roman" w:cs="Times New Roman"/>
          <w:sz w:val="24"/>
          <w:szCs w:val="24"/>
        </w:rPr>
        <w:t>dari</w:t>
      </w:r>
      <w:proofErr w:type="spellEnd"/>
      <w:r w:rsidR="00D44193" w:rsidRPr="00B14ED8">
        <w:rPr>
          <w:rFonts w:ascii="Times New Roman" w:eastAsia="Times New Roman" w:hAnsi="Times New Roman" w:cs="Times New Roman"/>
          <w:sz w:val="24"/>
          <w:szCs w:val="24"/>
        </w:rPr>
        <w:t xml:space="preserve"> </w:t>
      </w:r>
      <w:proofErr w:type="spellStart"/>
      <w:r w:rsidR="00D44193" w:rsidRPr="00B14ED8">
        <w:rPr>
          <w:rFonts w:ascii="Times New Roman" w:eastAsia="Times New Roman" w:hAnsi="Times New Roman" w:cs="Times New Roman"/>
          <w:sz w:val="24"/>
          <w:szCs w:val="24"/>
        </w:rPr>
        <w:t>sistem</w:t>
      </w:r>
      <w:proofErr w:type="spellEnd"/>
      <w:r w:rsidR="00D44193" w:rsidRPr="00B14ED8">
        <w:rPr>
          <w:rFonts w:ascii="Times New Roman" w:eastAsia="Times New Roman" w:hAnsi="Times New Roman" w:cs="Times New Roman"/>
          <w:sz w:val="24"/>
          <w:szCs w:val="24"/>
        </w:rPr>
        <w:t xml:space="preserve"> </w:t>
      </w:r>
      <w:r w:rsidR="00D44193" w:rsidRPr="00B14ED8">
        <w:rPr>
          <w:rFonts w:ascii="Times New Roman" w:eastAsia="Times New Roman" w:hAnsi="Times New Roman" w:cs="Times New Roman"/>
          <w:i/>
          <w:iCs/>
          <w:sz w:val="24"/>
          <w:szCs w:val="24"/>
        </w:rPr>
        <w:t xml:space="preserve">profit loss sharing </w:t>
      </w:r>
      <w:proofErr w:type="spellStart"/>
      <w:r w:rsidR="00D44193" w:rsidRPr="00B14ED8">
        <w:rPr>
          <w:rFonts w:ascii="Times New Roman" w:eastAsia="Times New Roman" w:hAnsi="Times New Roman" w:cs="Times New Roman"/>
          <w:sz w:val="24"/>
          <w:szCs w:val="24"/>
        </w:rPr>
        <w:t>dari</w:t>
      </w:r>
      <w:proofErr w:type="spellEnd"/>
      <w:r w:rsidR="00D44193" w:rsidRPr="00B14ED8">
        <w:rPr>
          <w:rFonts w:ascii="Times New Roman" w:eastAsia="Times New Roman" w:hAnsi="Times New Roman" w:cs="Times New Roman"/>
          <w:sz w:val="24"/>
          <w:szCs w:val="24"/>
        </w:rPr>
        <w:t xml:space="preserve"> </w:t>
      </w:r>
      <w:proofErr w:type="spellStart"/>
      <w:r w:rsidR="00D44193" w:rsidRPr="00B14ED8">
        <w:rPr>
          <w:rFonts w:ascii="Times New Roman" w:eastAsia="Times New Roman" w:hAnsi="Times New Roman" w:cs="Times New Roman"/>
          <w:sz w:val="24"/>
          <w:szCs w:val="24"/>
        </w:rPr>
        <w:t>investasi</w:t>
      </w:r>
      <w:proofErr w:type="spellEnd"/>
      <w:r w:rsidR="00D44193" w:rsidRPr="00B14ED8">
        <w:rPr>
          <w:rFonts w:ascii="Times New Roman" w:eastAsia="Times New Roman" w:hAnsi="Times New Roman" w:cs="Times New Roman"/>
          <w:sz w:val="24"/>
          <w:szCs w:val="24"/>
        </w:rPr>
        <w:t xml:space="preserve"> </w:t>
      </w:r>
      <w:proofErr w:type="spellStart"/>
      <w:r w:rsidR="00D44193" w:rsidRPr="00B14ED8">
        <w:rPr>
          <w:rFonts w:ascii="Times New Roman" w:eastAsia="Times New Roman" w:hAnsi="Times New Roman" w:cs="Times New Roman"/>
          <w:i/>
          <w:iCs/>
          <w:sz w:val="24"/>
          <w:szCs w:val="24"/>
        </w:rPr>
        <w:t>mudharabah</w:t>
      </w:r>
      <w:proofErr w:type="spellEnd"/>
      <w:r w:rsidR="001134F0" w:rsidRPr="00B14ED8">
        <w:rPr>
          <w:rFonts w:ascii="Times New Roman" w:eastAsia="Times New Roman" w:hAnsi="Times New Roman" w:cs="Times New Roman"/>
          <w:sz w:val="24"/>
          <w:szCs w:val="24"/>
        </w:rPr>
        <w:t xml:space="preserve">. </w:t>
      </w:r>
      <w:proofErr w:type="spellStart"/>
      <w:r w:rsidR="0069391E" w:rsidRPr="00B14ED8">
        <w:rPr>
          <w:rFonts w:ascii="Times New Roman" w:eastAsia="Times New Roman" w:hAnsi="Times New Roman" w:cs="Times New Roman"/>
          <w:sz w:val="24"/>
          <w:szCs w:val="24"/>
        </w:rPr>
        <w:t>Keterangan</w:t>
      </w:r>
      <w:proofErr w:type="spellEnd"/>
      <w:r w:rsidR="0069391E" w:rsidRPr="00B14ED8">
        <w:rPr>
          <w:rFonts w:ascii="Times New Roman" w:eastAsia="Times New Roman" w:hAnsi="Times New Roman" w:cs="Times New Roman"/>
          <w:sz w:val="24"/>
          <w:szCs w:val="24"/>
        </w:rPr>
        <w:t xml:space="preserve"> </w:t>
      </w:r>
      <w:proofErr w:type="spellStart"/>
      <w:r w:rsidR="00FB7C7D" w:rsidRPr="00B14ED8">
        <w:rPr>
          <w:rFonts w:ascii="Times New Roman" w:eastAsia="Times New Roman" w:hAnsi="Times New Roman" w:cs="Times New Roman"/>
          <w:sz w:val="24"/>
          <w:szCs w:val="24"/>
        </w:rPr>
        <w:t>terkait</w:t>
      </w:r>
      <w:proofErr w:type="spellEnd"/>
      <w:r w:rsidR="00FB7C7D" w:rsidRPr="00B14ED8">
        <w:rPr>
          <w:rFonts w:ascii="Times New Roman" w:eastAsia="Times New Roman" w:hAnsi="Times New Roman" w:cs="Times New Roman"/>
          <w:sz w:val="24"/>
          <w:szCs w:val="24"/>
        </w:rPr>
        <w:t xml:space="preserve"> </w:t>
      </w:r>
      <w:proofErr w:type="spellStart"/>
      <w:r w:rsidR="00FB7C7D" w:rsidRPr="00B14ED8">
        <w:rPr>
          <w:rFonts w:ascii="Times New Roman" w:eastAsia="Times New Roman" w:hAnsi="Times New Roman" w:cs="Times New Roman"/>
          <w:sz w:val="24"/>
          <w:szCs w:val="24"/>
        </w:rPr>
        <w:t>risiko</w:t>
      </w:r>
      <w:proofErr w:type="spellEnd"/>
      <w:r w:rsidR="00FB7C7D" w:rsidRPr="00B14ED8">
        <w:rPr>
          <w:rFonts w:ascii="Times New Roman" w:eastAsia="Times New Roman" w:hAnsi="Times New Roman" w:cs="Times New Roman"/>
          <w:sz w:val="24"/>
          <w:szCs w:val="24"/>
        </w:rPr>
        <w:t xml:space="preserve"> </w:t>
      </w:r>
      <w:proofErr w:type="spellStart"/>
      <w:r w:rsidR="00FB7C7D" w:rsidRPr="00B14ED8">
        <w:rPr>
          <w:rFonts w:ascii="Times New Roman" w:eastAsia="Times New Roman" w:hAnsi="Times New Roman" w:cs="Times New Roman"/>
          <w:sz w:val="24"/>
          <w:szCs w:val="24"/>
        </w:rPr>
        <w:t>pembiayaan</w:t>
      </w:r>
      <w:proofErr w:type="spellEnd"/>
      <w:r w:rsidR="00FB7C7D" w:rsidRPr="00B14ED8">
        <w:rPr>
          <w:rFonts w:ascii="Times New Roman" w:eastAsia="Times New Roman" w:hAnsi="Times New Roman" w:cs="Times New Roman"/>
          <w:sz w:val="24"/>
          <w:szCs w:val="24"/>
        </w:rPr>
        <w:t xml:space="preserve"> </w:t>
      </w:r>
      <w:proofErr w:type="spellStart"/>
      <w:r w:rsidR="00FB7C7D" w:rsidRPr="00B14ED8">
        <w:rPr>
          <w:rFonts w:ascii="Times New Roman" w:eastAsia="Times New Roman" w:hAnsi="Times New Roman" w:cs="Times New Roman"/>
          <w:i/>
          <w:iCs/>
          <w:sz w:val="24"/>
          <w:szCs w:val="24"/>
        </w:rPr>
        <w:t>mudharabah</w:t>
      </w:r>
      <w:proofErr w:type="spellEnd"/>
      <w:r w:rsidR="00FB7C7D" w:rsidRPr="00B14ED8">
        <w:rPr>
          <w:rFonts w:ascii="Times New Roman" w:eastAsia="Times New Roman" w:hAnsi="Times New Roman" w:cs="Times New Roman"/>
          <w:i/>
          <w:iCs/>
          <w:sz w:val="24"/>
          <w:szCs w:val="24"/>
        </w:rPr>
        <w:t xml:space="preserve"> </w:t>
      </w:r>
      <w:proofErr w:type="spellStart"/>
      <w:r w:rsidR="00523002" w:rsidRPr="00B14ED8">
        <w:rPr>
          <w:rFonts w:ascii="Times New Roman" w:eastAsia="Times New Roman" w:hAnsi="Times New Roman" w:cs="Times New Roman"/>
          <w:sz w:val="24"/>
          <w:szCs w:val="24"/>
        </w:rPr>
        <w:t>tersebut</w:t>
      </w:r>
      <w:proofErr w:type="spellEnd"/>
      <w:r w:rsidR="00523002" w:rsidRPr="00B14ED8">
        <w:rPr>
          <w:rFonts w:ascii="Times New Roman" w:eastAsia="Times New Roman" w:hAnsi="Times New Roman" w:cs="Times New Roman"/>
          <w:sz w:val="24"/>
          <w:szCs w:val="24"/>
        </w:rPr>
        <w:t xml:space="preserve"> </w:t>
      </w:r>
      <w:proofErr w:type="spellStart"/>
      <w:r w:rsidR="00FB7C7D" w:rsidRPr="00B14ED8">
        <w:rPr>
          <w:rFonts w:ascii="Times New Roman" w:eastAsia="Times New Roman" w:hAnsi="Times New Roman" w:cs="Times New Roman"/>
          <w:sz w:val="24"/>
          <w:szCs w:val="24"/>
        </w:rPr>
        <w:t>sesuai</w:t>
      </w:r>
      <w:proofErr w:type="spellEnd"/>
      <w:r w:rsidR="0069391E" w:rsidRPr="00B14ED8">
        <w:rPr>
          <w:rFonts w:ascii="Times New Roman" w:eastAsia="Times New Roman" w:hAnsi="Times New Roman" w:cs="Times New Roman"/>
          <w:sz w:val="24"/>
          <w:szCs w:val="24"/>
        </w:rPr>
        <w:t xml:space="preserve"> </w:t>
      </w:r>
      <w:proofErr w:type="spellStart"/>
      <w:r w:rsidR="0069391E" w:rsidRPr="00B14ED8">
        <w:rPr>
          <w:rFonts w:ascii="Times New Roman" w:eastAsia="Times New Roman" w:hAnsi="Times New Roman" w:cs="Times New Roman"/>
          <w:sz w:val="24"/>
          <w:szCs w:val="24"/>
        </w:rPr>
        <w:t>dengan</w:t>
      </w:r>
      <w:proofErr w:type="spellEnd"/>
      <w:r w:rsidR="005571B4" w:rsidRPr="00B14ED8">
        <w:rPr>
          <w:rFonts w:ascii="Times New Roman" w:eastAsia="Times New Roman" w:hAnsi="Times New Roman" w:cs="Times New Roman"/>
          <w:sz w:val="24"/>
          <w:szCs w:val="24"/>
        </w:rPr>
        <w:t xml:space="preserve"> </w:t>
      </w:r>
      <w:proofErr w:type="spellStart"/>
      <w:r w:rsidR="005571B4" w:rsidRPr="00B14ED8">
        <w:rPr>
          <w:rFonts w:ascii="Times New Roman" w:eastAsia="Times New Roman" w:hAnsi="Times New Roman" w:cs="Times New Roman"/>
          <w:sz w:val="24"/>
          <w:szCs w:val="24"/>
        </w:rPr>
        <w:t>riset</w:t>
      </w:r>
      <w:proofErr w:type="spellEnd"/>
      <w:r w:rsidR="005571B4" w:rsidRPr="00B14ED8">
        <w:rPr>
          <w:rFonts w:ascii="Times New Roman" w:eastAsia="Times New Roman" w:hAnsi="Times New Roman" w:cs="Times New Roman"/>
          <w:sz w:val="24"/>
          <w:szCs w:val="24"/>
        </w:rPr>
        <w:t xml:space="preserve"> </w:t>
      </w:r>
      <w:r w:rsidR="00D504F2" w:rsidRPr="00B14ED8">
        <w:rPr>
          <w:rFonts w:ascii="Times New Roman" w:eastAsia="Times New Roman" w:hAnsi="Times New Roman" w:cs="Times New Roman"/>
          <w:sz w:val="24"/>
          <w:szCs w:val="24"/>
        </w:rPr>
        <w:fldChar w:fldCharType="begin" w:fldLock="1"/>
      </w:r>
      <w:r w:rsidR="00E211CC" w:rsidRPr="00B14ED8">
        <w:rPr>
          <w:rFonts w:ascii="Times New Roman" w:eastAsia="Times New Roman" w:hAnsi="Times New Roman" w:cs="Times New Roman"/>
          <w:sz w:val="24"/>
          <w:szCs w:val="24"/>
        </w:rPr>
        <w:instrText>ADDIN CSL_CITATION {"citationItems":[{"id":"ITEM-1","itemData":{"DOI":"10.1108/JIABR-10-2018-0157","ISSN":"17590825","abstract":"Purpose: The purpose of this paper is to empirically assess the impact of the principle of profit- and loss-sharing (PLS) on the exposure to liquidity risk of Islamic banks in Gulf Corporation Council (GCC) countries. The Islamic bank activity is distinguished by a PLS principle, which is likely to involve specificities in the bank liquidity issue. Design/methodology/approach: This paper investigates the determinants of Islamic bank liquidity over the period 2005–2016 using a panel of 23 Islamic banks in GCC. The system of generalized method of moment estimators is applied. Findings: The findings reveal that while profit-sharing investment accounts (PSIAs) are inversely proportional to Islamic bank liquidity, the PLS investment does not seem to act as a determinant of the bank liquidity. The fact that PSIAs are globally short-run accounts, but finance long-run projects leads to a substantial maturity mismatches, which limits the availability of liquidity buffer and exacerbates the bank’s exposure to liquidity risk. Moreover, capital adequacy ratio has significant and positive association with bank liquidity, as a strong capital ratio helps to strengthen the liquidity control. However, return on assets has a negative significant impact on bank liquidity. For instance, if the bank holds more cash, it deprives itself from placing funds and earning returns, which causes its profitability to decline. Practical implications: This paper gives further insights to better improve the liquidity risk management in a context of scarcity of Shariah-compliant instruments. Islamic bank needs to determine the PLS purpose and goals to be consistent with the “bank’s financing policy” and convince its depositors to use their deposits for medium and long-run investments. Originality/value: Unlike previous empirical research, this investigation tries to better grasp the Islamic bank liquidity issue by focusing on the PLS impact on liquidity risk. It aims to fill in the gap in the empirical literature on this topic.","author":[{"dropping-particle":"Ben","family":"Jedidia","given":"Khoutem","non-dropping-particle":"","parse-names":false,"suffix":""}],"container-title":"Journal of Islamic Accounting and Business Research","id":"ITEM-1","issue":"9","issued":{"date-parts":[["2020"]]},"page":"1791-1806","title":"Profit- and loss-sharing impact on Islamic bank liquidity in GCC countries","type":"article-journal","volume":"11"},"uris":["http://www.mendeley.com/documents/?uuid=0d37ca26-dd0d-443e-92ec-15758abb1ed7"]}],"mendeley":{"formattedCitation":"(Jedidia, 2020)","manualFormatting":"Jedidia (2020)","plainTextFormattedCitation":"(Jedidia, 2020)","previouslyFormattedCitation":"(Jedidia, 2020)"},"properties":{"noteIndex":0},"schema":"https://github.com/citation-style-language/schema/raw/master/csl-citation.json"}</w:instrText>
      </w:r>
      <w:r w:rsidR="00D504F2" w:rsidRPr="00B14ED8">
        <w:rPr>
          <w:rFonts w:ascii="Times New Roman" w:eastAsia="Times New Roman" w:hAnsi="Times New Roman" w:cs="Times New Roman"/>
          <w:sz w:val="24"/>
          <w:szCs w:val="24"/>
        </w:rPr>
        <w:fldChar w:fldCharType="separate"/>
      </w:r>
      <w:r w:rsidR="00D504F2" w:rsidRPr="00B14ED8">
        <w:rPr>
          <w:rFonts w:ascii="Times New Roman" w:eastAsia="Times New Roman" w:hAnsi="Times New Roman" w:cs="Times New Roman"/>
          <w:noProof/>
          <w:sz w:val="24"/>
          <w:szCs w:val="24"/>
        </w:rPr>
        <w:t>Jedidia (2020)</w:t>
      </w:r>
      <w:r w:rsidR="00D504F2" w:rsidRPr="00B14ED8">
        <w:rPr>
          <w:rFonts w:ascii="Times New Roman" w:eastAsia="Times New Roman" w:hAnsi="Times New Roman" w:cs="Times New Roman"/>
          <w:sz w:val="24"/>
          <w:szCs w:val="24"/>
        </w:rPr>
        <w:fldChar w:fldCharType="end"/>
      </w:r>
      <w:r w:rsidR="00D504F2" w:rsidRPr="00B14ED8">
        <w:rPr>
          <w:rFonts w:ascii="Times New Roman" w:eastAsia="Times New Roman" w:hAnsi="Times New Roman" w:cs="Times New Roman"/>
          <w:sz w:val="24"/>
          <w:szCs w:val="24"/>
        </w:rPr>
        <w:t xml:space="preserve"> </w:t>
      </w:r>
      <w:proofErr w:type="spellStart"/>
      <w:r w:rsidR="00392345" w:rsidRPr="00B14ED8">
        <w:rPr>
          <w:rFonts w:ascii="Times New Roman" w:eastAsia="Times New Roman" w:hAnsi="Times New Roman" w:cs="Times New Roman"/>
          <w:sz w:val="24"/>
          <w:szCs w:val="24"/>
        </w:rPr>
        <w:t>serta</w:t>
      </w:r>
      <w:proofErr w:type="spellEnd"/>
      <w:r w:rsidR="00392345" w:rsidRPr="00B14ED8">
        <w:rPr>
          <w:rFonts w:ascii="Times New Roman" w:eastAsia="Times New Roman" w:hAnsi="Times New Roman" w:cs="Times New Roman"/>
          <w:sz w:val="24"/>
          <w:szCs w:val="24"/>
        </w:rPr>
        <w:t xml:space="preserve"> </w:t>
      </w:r>
      <w:r w:rsidR="00392345" w:rsidRPr="00B14ED8">
        <w:rPr>
          <w:rFonts w:ascii="Times New Roman" w:eastAsia="Times New Roman" w:hAnsi="Times New Roman" w:cs="Times New Roman"/>
          <w:sz w:val="24"/>
          <w:szCs w:val="24"/>
        </w:rPr>
        <w:fldChar w:fldCharType="begin" w:fldLock="1"/>
      </w:r>
      <w:r w:rsidR="00392345" w:rsidRPr="00B14ED8">
        <w:rPr>
          <w:rFonts w:ascii="Times New Roman" w:eastAsia="Times New Roman" w:hAnsi="Times New Roman" w:cs="Times New Roman"/>
          <w:sz w:val="24"/>
          <w:szCs w:val="24"/>
        </w:rPr>
        <w:instrText>ADDIN CSL_CITATION {"citationItems":[{"id":"ITEM-1","itemData":{"author":[{"dropping-particle":"","family":"Fajar","given":"Maulana","non-dropping-particle":"","parse-names":false,"suffix":""},{"dropping-particle":"","family":"Mutamimah","given":"","non-dropping-particle":"","parse-names":false,"suffix":""}],"container-title":"EKOBIS","id":"ITEM-1","issue":"2","issued":{"date-parts":[["2023"]]},"page":"117 - 153","title":"PENURUNAN NON PERFORMING FINANCING BERBASIS ENTERPRISE RISK MANAGEMENT","type":"article-journal","volume":"24"},"uris":["http://www.mendeley.com/documents/?uuid=fbbb640a-31c7-4cad-8dc9-ec1c9dceacb8"]}],"mendeley":{"formattedCitation":"(Fajar &amp; Mutamimah, 2023)","manualFormatting":" Fajar &amp; Mutamimah (2023)","plainTextFormattedCitation":"(Fajar &amp; Mutamimah, 2023)","previouslyFormattedCitation":"(Fajar &amp; Mutamimah, 2023)"},"properties":{"noteIndex":0},"schema":"https://github.com/citation-style-language/schema/raw/master/csl-citation.json"}</w:instrText>
      </w:r>
      <w:r w:rsidR="00392345" w:rsidRPr="00B14ED8">
        <w:rPr>
          <w:rFonts w:ascii="Times New Roman" w:eastAsia="Times New Roman" w:hAnsi="Times New Roman" w:cs="Times New Roman"/>
          <w:sz w:val="24"/>
          <w:szCs w:val="24"/>
        </w:rPr>
        <w:fldChar w:fldCharType="separate"/>
      </w:r>
      <w:r w:rsidR="00392345" w:rsidRPr="00B14ED8">
        <w:rPr>
          <w:rFonts w:ascii="Times New Roman" w:eastAsia="Times New Roman" w:hAnsi="Times New Roman" w:cs="Times New Roman"/>
          <w:noProof/>
          <w:sz w:val="24"/>
          <w:szCs w:val="24"/>
        </w:rPr>
        <w:t xml:space="preserve"> Fajar &amp; Mutamimah (2023)</w:t>
      </w:r>
      <w:r w:rsidR="00392345" w:rsidRPr="00B14ED8">
        <w:rPr>
          <w:rFonts w:ascii="Times New Roman" w:eastAsia="Times New Roman" w:hAnsi="Times New Roman" w:cs="Times New Roman"/>
          <w:sz w:val="24"/>
          <w:szCs w:val="24"/>
        </w:rPr>
        <w:fldChar w:fldCharType="end"/>
      </w:r>
      <w:r w:rsidR="000009C9" w:rsidRPr="00B14ED8">
        <w:rPr>
          <w:rFonts w:ascii="Times New Roman" w:eastAsia="Times New Roman" w:hAnsi="Times New Roman" w:cs="Times New Roman"/>
          <w:sz w:val="24"/>
          <w:szCs w:val="24"/>
        </w:rPr>
        <w:t xml:space="preserve"> yang </w:t>
      </w:r>
      <w:proofErr w:type="spellStart"/>
      <w:r w:rsidR="000009C9" w:rsidRPr="00B14ED8">
        <w:rPr>
          <w:rFonts w:ascii="Times New Roman" w:eastAsia="Times New Roman" w:hAnsi="Times New Roman" w:cs="Times New Roman"/>
          <w:sz w:val="24"/>
          <w:szCs w:val="24"/>
        </w:rPr>
        <w:t>menjelaskan</w:t>
      </w:r>
      <w:proofErr w:type="spellEnd"/>
      <w:r w:rsidR="000009C9" w:rsidRPr="00B14ED8">
        <w:rPr>
          <w:rFonts w:ascii="Times New Roman" w:eastAsia="Times New Roman" w:hAnsi="Times New Roman" w:cs="Times New Roman"/>
          <w:sz w:val="24"/>
          <w:szCs w:val="24"/>
        </w:rPr>
        <w:t xml:space="preserve"> </w:t>
      </w:r>
      <w:proofErr w:type="spellStart"/>
      <w:r w:rsidR="004A28B9" w:rsidRPr="00B14ED8">
        <w:rPr>
          <w:rFonts w:ascii="Times New Roman" w:eastAsia="Times New Roman" w:hAnsi="Times New Roman" w:cs="Times New Roman"/>
          <w:sz w:val="24"/>
          <w:szCs w:val="24"/>
        </w:rPr>
        <w:t>bahwa</w:t>
      </w:r>
      <w:proofErr w:type="spellEnd"/>
      <w:r w:rsidR="004A28B9" w:rsidRPr="00B14ED8">
        <w:rPr>
          <w:rFonts w:ascii="Times New Roman" w:eastAsia="Times New Roman" w:hAnsi="Times New Roman" w:cs="Times New Roman"/>
          <w:sz w:val="24"/>
          <w:szCs w:val="24"/>
        </w:rPr>
        <w:t xml:space="preserve"> </w:t>
      </w:r>
      <w:proofErr w:type="spellStart"/>
      <w:r w:rsidR="004A28B9" w:rsidRPr="00B14ED8">
        <w:rPr>
          <w:rFonts w:ascii="Times New Roman" w:eastAsia="Times New Roman" w:hAnsi="Times New Roman" w:cs="Times New Roman"/>
          <w:sz w:val="24"/>
          <w:szCs w:val="24"/>
        </w:rPr>
        <w:t>nilai</w:t>
      </w:r>
      <w:proofErr w:type="spellEnd"/>
      <w:r w:rsidR="004A28B9" w:rsidRPr="00B14ED8">
        <w:rPr>
          <w:rFonts w:ascii="Times New Roman" w:eastAsia="Times New Roman" w:hAnsi="Times New Roman" w:cs="Times New Roman"/>
          <w:sz w:val="24"/>
          <w:szCs w:val="24"/>
        </w:rPr>
        <w:t xml:space="preserve"> </w:t>
      </w:r>
      <w:proofErr w:type="spellStart"/>
      <w:r w:rsidR="004A28B9" w:rsidRPr="00B14ED8">
        <w:rPr>
          <w:rFonts w:ascii="Times New Roman" w:eastAsia="Times New Roman" w:hAnsi="Times New Roman" w:cs="Times New Roman"/>
          <w:sz w:val="24"/>
          <w:szCs w:val="24"/>
        </w:rPr>
        <w:t>risiko</w:t>
      </w:r>
      <w:proofErr w:type="spellEnd"/>
      <w:r w:rsidR="004A28B9" w:rsidRPr="00B14ED8">
        <w:rPr>
          <w:rFonts w:ascii="Times New Roman" w:eastAsia="Times New Roman" w:hAnsi="Times New Roman" w:cs="Times New Roman"/>
          <w:sz w:val="24"/>
          <w:szCs w:val="24"/>
        </w:rPr>
        <w:t xml:space="preserve"> </w:t>
      </w:r>
      <w:proofErr w:type="spellStart"/>
      <w:r w:rsidR="004A28B9" w:rsidRPr="00B14ED8">
        <w:rPr>
          <w:rFonts w:ascii="Times New Roman" w:eastAsia="Times New Roman" w:hAnsi="Times New Roman" w:cs="Times New Roman"/>
          <w:sz w:val="24"/>
          <w:szCs w:val="24"/>
        </w:rPr>
        <w:t>pembiayaan</w:t>
      </w:r>
      <w:proofErr w:type="spellEnd"/>
      <w:r w:rsidR="004A28B9" w:rsidRPr="00B14ED8">
        <w:rPr>
          <w:rFonts w:ascii="Times New Roman" w:eastAsia="Times New Roman" w:hAnsi="Times New Roman" w:cs="Times New Roman"/>
          <w:sz w:val="24"/>
          <w:szCs w:val="24"/>
        </w:rPr>
        <w:t xml:space="preserve"> </w:t>
      </w:r>
      <w:proofErr w:type="spellStart"/>
      <w:r w:rsidR="004A28B9" w:rsidRPr="00B14ED8">
        <w:rPr>
          <w:rFonts w:ascii="Times New Roman" w:eastAsia="Times New Roman" w:hAnsi="Times New Roman" w:cs="Times New Roman"/>
          <w:i/>
          <w:iCs/>
          <w:sz w:val="24"/>
          <w:szCs w:val="24"/>
        </w:rPr>
        <w:t>mudharabah</w:t>
      </w:r>
      <w:proofErr w:type="spellEnd"/>
      <w:r w:rsidR="004A28B9" w:rsidRPr="00B14ED8">
        <w:rPr>
          <w:rFonts w:ascii="Times New Roman" w:eastAsia="Times New Roman" w:hAnsi="Times New Roman" w:cs="Times New Roman"/>
          <w:i/>
          <w:iCs/>
          <w:sz w:val="24"/>
          <w:szCs w:val="24"/>
        </w:rPr>
        <w:t xml:space="preserve"> </w:t>
      </w:r>
      <w:proofErr w:type="spellStart"/>
      <w:r w:rsidR="004A28B9" w:rsidRPr="00B14ED8">
        <w:rPr>
          <w:rFonts w:ascii="Times New Roman" w:eastAsia="Times New Roman" w:hAnsi="Times New Roman" w:cs="Times New Roman"/>
          <w:sz w:val="24"/>
          <w:szCs w:val="24"/>
        </w:rPr>
        <w:t>cukup</w:t>
      </w:r>
      <w:proofErr w:type="spellEnd"/>
      <w:r w:rsidR="004A28B9" w:rsidRPr="00B14ED8">
        <w:rPr>
          <w:rFonts w:ascii="Times New Roman" w:eastAsia="Times New Roman" w:hAnsi="Times New Roman" w:cs="Times New Roman"/>
          <w:sz w:val="24"/>
          <w:szCs w:val="24"/>
        </w:rPr>
        <w:t xml:space="preserve"> </w:t>
      </w:r>
      <w:proofErr w:type="spellStart"/>
      <w:r w:rsidR="004A28B9" w:rsidRPr="00B14ED8">
        <w:rPr>
          <w:rFonts w:ascii="Times New Roman" w:eastAsia="Times New Roman" w:hAnsi="Times New Roman" w:cs="Times New Roman"/>
          <w:sz w:val="24"/>
          <w:szCs w:val="24"/>
        </w:rPr>
        <w:t>tinggi</w:t>
      </w:r>
      <w:proofErr w:type="spellEnd"/>
      <w:r w:rsidR="00656574" w:rsidRPr="00B14ED8">
        <w:rPr>
          <w:rFonts w:ascii="Times New Roman" w:eastAsia="Times New Roman" w:hAnsi="Times New Roman" w:cs="Times New Roman"/>
          <w:sz w:val="24"/>
          <w:szCs w:val="24"/>
        </w:rPr>
        <w:t xml:space="preserve">, </w:t>
      </w:r>
      <w:proofErr w:type="spellStart"/>
      <w:r w:rsidR="004A28B9" w:rsidRPr="00B14ED8">
        <w:rPr>
          <w:rFonts w:ascii="Times New Roman" w:eastAsia="Times New Roman" w:hAnsi="Times New Roman" w:cs="Times New Roman"/>
          <w:sz w:val="24"/>
          <w:szCs w:val="24"/>
        </w:rPr>
        <w:t>sehingga</w:t>
      </w:r>
      <w:proofErr w:type="spellEnd"/>
      <w:r w:rsidR="004A28B9" w:rsidRPr="00B14ED8">
        <w:rPr>
          <w:rFonts w:ascii="Times New Roman" w:eastAsia="Times New Roman" w:hAnsi="Times New Roman" w:cs="Times New Roman"/>
          <w:sz w:val="24"/>
          <w:szCs w:val="24"/>
        </w:rPr>
        <w:t xml:space="preserve"> </w:t>
      </w:r>
      <w:proofErr w:type="spellStart"/>
      <w:r w:rsidR="004A28B9" w:rsidRPr="00B14ED8">
        <w:rPr>
          <w:rFonts w:ascii="Times New Roman" w:eastAsia="Times New Roman" w:hAnsi="Times New Roman" w:cs="Times New Roman"/>
          <w:sz w:val="24"/>
          <w:szCs w:val="24"/>
        </w:rPr>
        <w:t>mengakibatkan</w:t>
      </w:r>
      <w:proofErr w:type="spellEnd"/>
      <w:r w:rsidR="004A28B9" w:rsidRPr="00B14ED8">
        <w:rPr>
          <w:rFonts w:ascii="Times New Roman" w:eastAsia="Times New Roman" w:hAnsi="Times New Roman" w:cs="Times New Roman"/>
          <w:sz w:val="24"/>
          <w:szCs w:val="24"/>
        </w:rPr>
        <w:t xml:space="preserve"> </w:t>
      </w:r>
      <w:proofErr w:type="spellStart"/>
      <w:r w:rsidR="004A28B9" w:rsidRPr="00B14ED8">
        <w:rPr>
          <w:rFonts w:ascii="Times New Roman" w:eastAsia="Times New Roman" w:hAnsi="Times New Roman" w:cs="Times New Roman"/>
          <w:sz w:val="24"/>
          <w:szCs w:val="24"/>
        </w:rPr>
        <w:t>penurunan</w:t>
      </w:r>
      <w:proofErr w:type="spellEnd"/>
      <w:r w:rsidR="004A28B9" w:rsidRPr="00B14ED8">
        <w:rPr>
          <w:rFonts w:ascii="Times New Roman" w:eastAsia="Times New Roman" w:hAnsi="Times New Roman" w:cs="Times New Roman"/>
          <w:sz w:val="24"/>
          <w:szCs w:val="24"/>
        </w:rPr>
        <w:t xml:space="preserve"> </w:t>
      </w:r>
      <w:proofErr w:type="spellStart"/>
      <w:r w:rsidR="004A28B9" w:rsidRPr="00B14ED8">
        <w:rPr>
          <w:rFonts w:ascii="Times New Roman" w:eastAsia="Times New Roman" w:hAnsi="Times New Roman" w:cs="Times New Roman"/>
          <w:sz w:val="24"/>
          <w:szCs w:val="24"/>
        </w:rPr>
        <w:t>nilai</w:t>
      </w:r>
      <w:proofErr w:type="spellEnd"/>
      <w:r w:rsidR="004A28B9" w:rsidRPr="00B14ED8">
        <w:rPr>
          <w:rFonts w:ascii="Times New Roman" w:eastAsia="Times New Roman" w:hAnsi="Times New Roman" w:cs="Times New Roman"/>
          <w:sz w:val="24"/>
          <w:szCs w:val="24"/>
        </w:rPr>
        <w:t xml:space="preserve"> </w:t>
      </w:r>
      <w:proofErr w:type="spellStart"/>
      <w:r w:rsidR="004A28B9" w:rsidRPr="00B14ED8">
        <w:rPr>
          <w:rFonts w:ascii="Times New Roman" w:eastAsia="Times New Roman" w:hAnsi="Times New Roman" w:cs="Times New Roman"/>
          <w:sz w:val="24"/>
          <w:szCs w:val="24"/>
        </w:rPr>
        <w:t>investasi</w:t>
      </w:r>
      <w:proofErr w:type="spellEnd"/>
      <w:r w:rsidR="004A28B9" w:rsidRPr="00B14ED8">
        <w:rPr>
          <w:rFonts w:ascii="Times New Roman" w:eastAsia="Times New Roman" w:hAnsi="Times New Roman" w:cs="Times New Roman"/>
          <w:sz w:val="24"/>
          <w:szCs w:val="24"/>
        </w:rPr>
        <w:t xml:space="preserve"> pada </w:t>
      </w:r>
      <w:proofErr w:type="spellStart"/>
      <w:r w:rsidR="00656574" w:rsidRPr="00B14ED8">
        <w:rPr>
          <w:rFonts w:ascii="Times New Roman" w:eastAsia="Times New Roman" w:hAnsi="Times New Roman" w:cs="Times New Roman"/>
          <w:sz w:val="24"/>
          <w:szCs w:val="24"/>
        </w:rPr>
        <w:t>pembiayaan</w:t>
      </w:r>
      <w:proofErr w:type="spellEnd"/>
      <w:r w:rsidR="00656574" w:rsidRPr="00B14ED8">
        <w:rPr>
          <w:rFonts w:ascii="Times New Roman" w:eastAsia="Times New Roman" w:hAnsi="Times New Roman" w:cs="Times New Roman"/>
          <w:sz w:val="24"/>
          <w:szCs w:val="24"/>
        </w:rPr>
        <w:t xml:space="preserve"> </w:t>
      </w:r>
      <w:proofErr w:type="spellStart"/>
      <w:r w:rsidR="00656574" w:rsidRPr="00B14ED8">
        <w:rPr>
          <w:rFonts w:ascii="Times New Roman" w:eastAsia="Times New Roman" w:hAnsi="Times New Roman" w:cs="Times New Roman"/>
          <w:i/>
          <w:iCs/>
          <w:sz w:val="24"/>
          <w:szCs w:val="24"/>
        </w:rPr>
        <w:t>mudharabah</w:t>
      </w:r>
      <w:proofErr w:type="spellEnd"/>
      <w:r w:rsidR="00656574" w:rsidRPr="00B14ED8">
        <w:rPr>
          <w:rFonts w:ascii="Times New Roman" w:eastAsia="Times New Roman" w:hAnsi="Times New Roman" w:cs="Times New Roman"/>
          <w:i/>
          <w:iCs/>
          <w:sz w:val="24"/>
          <w:szCs w:val="24"/>
        </w:rPr>
        <w:t xml:space="preserve"> </w:t>
      </w:r>
      <w:proofErr w:type="spellStart"/>
      <w:r w:rsidR="00565F9C" w:rsidRPr="00B14ED8">
        <w:rPr>
          <w:rFonts w:ascii="Times New Roman" w:eastAsia="Times New Roman" w:hAnsi="Times New Roman" w:cs="Times New Roman"/>
          <w:sz w:val="24"/>
          <w:szCs w:val="24"/>
        </w:rPr>
        <w:t>guna</w:t>
      </w:r>
      <w:proofErr w:type="spellEnd"/>
      <w:r w:rsidR="00565F9C" w:rsidRPr="00B14ED8">
        <w:rPr>
          <w:rFonts w:ascii="Times New Roman" w:eastAsia="Times New Roman" w:hAnsi="Times New Roman" w:cs="Times New Roman"/>
          <w:sz w:val="24"/>
          <w:szCs w:val="24"/>
        </w:rPr>
        <w:t xml:space="preserve"> </w:t>
      </w:r>
      <w:proofErr w:type="spellStart"/>
      <w:r w:rsidR="00565F9C" w:rsidRPr="00B14ED8">
        <w:rPr>
          <w:rFonts w:ascii="Times New Roman" w:eastAsia="Times New Roman" w:hAnsi="Times New Roman" w:cs="Times New Roman"/>
          <w:sz w:val="24"/>
          <w:szCs w:val="24"/>
        </w:rPr>
        <w:t>menghindari</w:t>
      </w:r>
      <w:proofErr w:type="spellEnd"/>
      <w:r w:rsidR="00565F9C" w:rsidRPr="00B14ED8">
        <w:rPr>
          <w:rFonts w:ascii="Times New Roman" w:eastAsia="Times New Roman" w:hAnsi="Times New Roman" w:cs="Times New Roman"/>
          <w:sz w:val="24"/>
          <w:szCs w:val="24"/>
        </w:rPr>
        <w:t xml:space="preserve"> </w:t>
      </w:r>
      <w:proofErr w:type="spellStart"/>
      <w:r w:rsidR="00565F9C" w:rsidRPr="00B14ED8">
        <w:rPr>
          <w:rFonts w:ascii="Times New Roman" w:eastAsia="Times New Roman" w:hAnsi="Times New Roman" w:cs="Times New Roman"/>
          <w:sz w:val="24"/>
          <w:szCs w:val="24"/>
        </w:rPr>
        <w:t>risiko</w:t>
      </w:r>
      <w:proofErr w:type="spellEnd"/>
      <w:r w:rsidR="00565F9C" w:rsidRPr="00B14ED8">
        <w:rPr>
          <w:rFonts w:ascii="Times New Roman" w:eastAsia="Times New Roman" w:hAnsi="Times New Roman" w:cs="Times New Roman"/>
          <w:sz w:val="24"/>
          <w:szCs w:val="24"/>
        </w:rPr>
        <w:t xml:space="preserve"> </w:t>
      </w:r>
      <w:proofErr w:type="spellStart"/>
      <w:r w:rsidR="00565F9C" w:rsidRPr="00B14ED8">
        <w:rPr>
          <w:rFonts w:ascii="Times New Roman" w:eastAsia="Times New Roman" w:hAnsi="Times New Roman" w:cs="Times New Roman"/>
          <w:sz w:val="24"/>
          <w:szCs w:val="24"/>
        </w:rPr>
        <w:t>kerugian</w:t>
      </w:r>
      <w:proofErr w:type="spellEnd"/>
      <w:r w:rsidR="00565F9C" w:rsidRPr="00B14ED8">
        <w:rPr>
          <w:rFonts w:ascii="Times New Roman" w:eastAsia="Times New Roman" w:hAnsi="Times New Roman" w:cs="Times New Roman"/>
          <w:sz w:val="24"/>
          <w:szCs w:val="24"/>
        </w:rPr>
        <w:t xml:space="preserve"> yang </w:t>
      </w:r>
      <w:proofErr w:type="spellStart"/>
      <w:r w:rsidR="00565F9C" w:rsidRPr="00B14ED8">
        <w:rPr>
          <w:rFonts w:ascii="Times New Roman" w:eastAsia="Times New Roman" w:hAnsi="Times New Roman" w:cs="Times New Roman"/>
          <w:sz w:val="24"/>
          <w:szCs w:val="24"/>
        </w:rPr>
        <w:t>dapat</w:t>
      </w:r>
      <w:proofErr w:type="spellEnd"/>
      <w:r w:rsidR="00565F9C" w:rsidRPr="00B14ED8">
        <w:rPr>
          <w:rFonts w:ascii="Times New Roman" w:eastAsia="Times New Roman" w:hAnsi="Times New Roman" w:cs="Times New Roman"/>
          <w:sz w:val="24"/>
          <w:szCs w:val="24"/>
        </w:rPr>
        <w:t xml:space="preserve"> </w:t>
      </w:r>
      <w:proofErr w:type="spellStart"/>
      <w:r w:rsidR="00565F9C" w:rsidRPr="00B14ED8">
        <w:rPr>
          <w:rFonts w:ascii="Times New Roman" w:eastAsia="Times New Roman" w:hAnsi="Times New Roman" w:cs="Times New Roman"/>
          <w:sz w:val="24"/>
          <w:szCs w:val="24"/>
        </w:rPr>
        <w:t>terjadi</w:t>
      </w:r>
      <w:proofErr w:type="spellEnd"/>
      <w:r w:rsidR="00F5078C" w:rsidRPr="00B14ED8">
        <w:rPr>
          <w:rFonts w:ascii="Times New Roman" w:eastAsia="Times New Roman" w:hAnsi="Times New Roman" w:cs="Times New Roman"/>
          <w:sz w:val="24"/>
          <w:szCs w:val="24"/>
        </w:rPr>
        <w:t xml:space="preserve">, </w:t>
      </w:r>
      <w:proofErr w:type="spellStart"/>
      <w:r w:rsidR="00F5078C" w:rsidRPr="00B14ED8">
        <w:rPr>
          <w:rFonts w:ascii="Times New Roman" w:eastAsia="Times New Roman" w:hAnsi="Times New Roman" w:cs="Times New Roman"/>
          <w:sz w:val="24"/>
          <w:szCs w:val="24"/>
        </w:rPr>
        <w:t>meskipun</w:t>
      </w:r>
      <w:proofErr w:type="spellEnd"/>
      <w:r w:rsidR="00F5078C" w:rsidRPr="00B14ED8">
        <w:rPr>
          <w:rFonts w:ascii="Times New Roman" w:eastAsia="Times New Roman" w:hAnsi="Times New Roman" w:cs="Times New Roman"/>
          <w:sz w:val="24"/>
          <w:szCs w:val="24"/>
        </w:rPr>
        <w:t xml:space="preserve"> </w:t>
      </w:r>
      <w:proofErr w:type="spellStart"/>
      <w:r w:rsidR="00F5078C" w:rsidRPr="00B14ED8">
        <w:rPr>
          <w:rFonts w:ascii="Times New Roman" w:eastAsia="Times New Roman" w:hAnsi="Times New Roman" w:cs="Times New Roman"/>
          <w:sz w:val="24"/>
          <w:szCs w:val="24"/>
        </w:rPr>
        <w:t>potensi</w:t>
      </w:r>
      <w:proofErr w:type="spellEnd"/>
      <w:r w:rsidR="00F5078C" w:rsidRPr="00B14ED8">
        <w:rPr>
          <w:rFonts w:ascii="Times New Roman" w:eastAsia="Times New Roman" w:hAnsi="Times New Roman" w:cs="Times New Roman"/>
          <w:sz w:val="24"/>
          <w:szCs w:val="24"/>
        </w:rPr>
        <w:t xml:space="preserve"> </w:t>
      </w:r>
      <w:proofErr w:type="spellStart"/>
      <w:r w:rsidR="00F5078C" w:rsidRPr="00B14ED8">
        <w:rPr>
          <w:rFonts w:ascii="Times New Roman" w:eastAsia="Times New Roman" w:hAnsi="Times New Roman" w:cs="Times New Roman"/>
          <w:sz w:val="24"/>
          <w:szCs w:val="24"/>
        </w:rPr>
        <w:t>laba</w:t>
      </w:r>
      <w:proofErr w:type="spellEnd"/>
      <w:r w:rsidR="00F5078C" w:rsidRPr="00B14ED8">
        <w:rPr>
          <w:rFonts w:ascii="Times New Roman" w:eastAsia="Times New Roman" w:hAnsi="Times New Roman" w:cs="Times New Roman"/>
          <w:sz w:val="24"/>
          <w:szCs w:val="24"/>
        </w:rPr>
        <w:t xml:space="preserve"> </w:t>
      </w:r>
      <w:r w:rsidR="004200C1" w:rsidRPr="00B14ED8">
        <w:rPr>
          <w:rFonts w:ascii="Times New Roman" w:eastAsia="Times New Roman" w:hAnsi="Times New Roman" w:cs="Times New Roman"/>
          <w:sz w:val="24"/>
          <w:szCs w:val="24"/>
        </w:rPr>
        <w:t xml:space="preserve">yang </w:t>
      </w:r>
      <w:proofErr w:type="spellStart"/>
      <w:r w:rsidR="004200C1" w:rsidRPr="00B14ED8">
        <w:rPr>
          <w:rFonts w:ascii="Times New Roman" w:eastAsia="Times New Roman" w:hAnsi="Times New Roman" w:cs="Times New Roman"/>
          <w:sz w:val="24"/>
          <w:szCs w:val="24"/>
        </w:rPr>
        <w:t>sebenarnya</w:t>
      </w:r>
      <w:proofErr w:type="spellEnd"/>
      <w:r w:rsidR="004200C1" w:rsidRPr="00B14ED8">
        <w:rPr>
          <w:rFonts w:ascii="Times New Roman" w:eastAsia="Times New Roman" w:hAnsi="Times New Roman" w:cs="Times New Roman"/>
          <w:sz w:val="24"/>
          <w:szCs w:val="24"/>
        </w:rPr>
        <w:t xml:space="preserve"> </w:t>
      </w:r>
      <w:proofErr w:type="spellStart"/>
      <w:r w:rsidR="004200C1" w:rsidRPr="00B14ED8">
        <w:rPr>
          <w:rFonts w:ascii="Times New Roman" w:eastAsia="Times New Roman" w:hAnsi="Times New Roman" w:cs="Times New Roman"/>
          <w:sz w:val="24"/>
          <w:szCs w:val="24"/>
        </w:rPr>
        <w:t>dapat</w:t>
      </w:r>
      <w:proofErr w:type="spellEnd"/>
      <w:r w:rsidR="004200C1" w:rsidRPr="00B14ED8">
        <w:rPr>
          <w:rFonts w:ascii="Times New Roman" w:eastAsia="Times New Roman" w:hAnsi="Times New Roman" w:cs="Times New Roman"/>
          <w:sz w:val="24"/>
          <w:szCs w:val="24"/>
        </w:rPr>
        <w:t xml:space="preserve"> </w:t>
      </w:r>
      <w:proofErr w:type="spellStart"/>
      <w:r w:rsidR="004200C1" w:rsidRPr="00B14ED8">
        <w:rPr>
          <w:rFonts w:ascii="Times New Roman" w:eastAsia="Times New Roman" w:hAnsi="Times New Roman" w:cs="Times New Roman"/>
          <w:sz w:val="24"/>
          <w:szCs w:val="24"/>
        </w:rPr>
        <w:t>ditingkatkan</w:t>
      </w:r>
      <w:proofErr w:type="spellEnd"/>
      <w:r w:rsidR="004200C1" w:rsidRPr="00B14ED8">
        <w:rPr>
          <w:rFonts w:ascii="Times New Roman" w:eastAsia="Times New Roman" w:hAnsi="Times New Roman" w:cs="Times New Roman"/>
          <w:sz w:val="24"/>
          <w:szCs w:val="24"/>
        </w:rPr>
        <w:t xml:space="preserve"> </w:t>
      </w:r>
      <w:proofErr w:type="spellStart"/>
      <w:r w:rsidR="004200C1" w:rsidRPr="00B14ED8">
        <w:rPr>
          <w:rFonts w:ascii="Times New Roman" w:eastAsia="Times New Roman" w:hAnsi="Times New Roman" w:cs="Times New Roman"/>
          <w:sz w:val="24"/>
          <w:szCs w:val="24"/>
        </w:rPr>
        <w:t>melalui</w:t>
      </w:r>
      <w:proofErr w:type="spellEnd"/>
      <w:r w:rsidR="004200C1" w:rsidRPr="00B14ED8">
        <w:rPr>
          <w:rFonts w:ascii="Times New Roman" w:eastAsia="Times New Roman" w:hAnsi="Times New Roman" w:cs="Times New Roman"/>
          <w:sz w:val="24"/>
          <w:szCs w:val="24"/>
        </w:rPr>
        <w:t xml:space="preserve"> </w:t>
      </w:r>
      <w:proofErr w:type="spellStart"/>
      <w:r w:rsidR="004200C1" w:rsidRPr="00B14ED8">
        <w:rPr>
          <w:rFonts w:ascii="Times New Roman" w:eastAsia="Times New Roman" w:hAnsi="Times New Roman" w:cs="Times New Roman"/>
          <w:sz w:val="24"/>
          <w:szCs w:val="24"/>
        </w:rPr>
        <w:t>investasi</w:t>
      </w:r>
      <w:proofErr w:type="spellEnd"/>
      <w:r w:rsidR="004200C1" w:rsidRPr="00B14ED8">
        <w:rPr>
          <w:rFonts w:ascii="Times New Roman" w:eastAsia="Times New Roman" w:hAnsi="Times New Roman" w:cs="Times New Roman"/>
          <w:sz w:val="24"/>
          <w:szCs w:val="24"/>
        </w:rPr>
        <w:t xml:space="preserve"> </w:t>
      </w:r>
      <w:proofErr w:type="spellStart"/>
      <w:r w:rsidR="004200C1" w:rsidRPr="00B14ED8">
        <w:rPr>
          <w:rFonts w:ascii="Times New Roman" w:eastAsia="Times New Roman" w:hAnsi="Times New Roman" w:cs="Times New Roman"/>
          <w:i/>
          <w:iCs/>
          <w:sz w:val="24"/>
          <w:szCs w:val="24"/>
        </w:rPr>
        <w:t>mudharabah</w:t>
      </w:r>
      <w:proofErr w:type="spellEnd"/>
      <w:r w:rsidR="00F5078C" w:rsidRPr="00B14ED8">
        <w:rPr>
          <w:rFonts w:ascii="Times New Roman" w:eastAsia="Times New Roman" w:hAnsi="Times New Roman" w:cs="Times New Roman"/>
          <w:sz w:val="24"/>
          <w:szCs w:val="24"/>
        </w:rPr>
        <w:t xml:space="preserve"> juga </w:t>
      </w:r>
      <w:proofErr w:type="spellStart"/>
      <w:r w:rsidR="00F5078C" w:rsidRPr="00B14ED8">
        <w:rPr>
          <w:rFonts w:ascii="Times New Roman" w:eastAsia="Times New Roman" w:hAnsi="Times New Roman" w:cs="Times New Roman"/>
          <w:sz w:val="24"/>
          <w:szCs w:val="24"/>
        </w:rPr>
        <w:t>ikut</w:t>
      </w:r>
      <w:proofErr w:type="spellEnd"/>
      <w:r w:rsidR="00F5078C" w:rsidRPr="00B14ED8">
        <w:rPr>
          <w:rFonts w:ascii="Times New Roman" w:eastAsia="Times New Roman" w:hAnsi="Times New Roman" w:cs="Times New Roman"/>
          <w:sz w:val="24"/>
          <w:szCs w:val="24"/>
        </w:rPr>
        <w:t xml:space="preserve"> </w:t>
      </w:r>
      <w:proofErr w:type="spellStart"/>
      <w:r w:rsidR="00F5078C" w:rsidRPr="00B14ED8">
        <w:rPr>
          <w:rFonts w:ascii="Times New Roman" w:eastAsia="Times New Roman" w:hAnsi="Times New Roman" w:cs="Times New Roman"/>
          <w:sz w:val="24"/>
          <w:szCs w:val="24"/>
        </w:rPr>
        <w:t>menurun</w:t>
      </w:r>
      <w:proofErr w:type="spellEnd"/>
      <w:r w:rsidR="00113A1D" w:rsidRPr="00B14ED8">
        <w:rPr>
          <w:rFonts w:ascii="Times New Roman" w:eastAsia="Times New Roman" w:hAnsi="Times New Roman" w:cs="Times New Roman"/>
          <w:sz w:val="24"/>
          <w:szCs w:val="24"/>
        </w:rPr>
        <w:t>.</w:t>
      </w:r>
      <w:r w:rsidR="00CB69A5" w:rsidRPr="00B14ED8">
        <w:rPr>
          <w:rFonts w:ascii="Times New Roman" w:eastAsia="Times New Roman" w:hAnsi="Times New Roman" w:cs="Times New Roman"/>
          <w:sz w:val="24"/>
          <w:szCs w:val="24"/>
        </w:rPr>
        <w:t xml:space="preserve"> </w:t>
      </w:r>
    </w:p>
    <w:p w14:paraId="7E8BD2E7" w14:textId="5DD635C5" w:rsidR="00A47653" w:rsidRPr="00B14ED8" w:rsidRDefault="00A47653" w:rsidP="00B14ED8">
      <w:pPr>
        <w:pStyle w:val="ListParagraph"/>
        <w:numPr>
          <w:ilvl w:val="0"/>
          <w:numId w:val="15"/>
        </w:numPr>
        <w:spacing w:after="0" w:line="360" w:lineRule="auto"/>
        <w:ind w:left="567" w:hanging="567"/>
        <w:jc w:val="both"/>
        <w:rPr>
          <w:rFonts w:ascii="Times New Roman" w:eastAsia="Times New Roman" w:hAnsi="Times New Roman" w:cs="Times New Roman"/>
          <w:b/>
          <w:bCs/>
          <w:sz w:val="24"/>
          <w:szCs w:val="24"/>
        </w:rPr>
      </w:pPr>
      <w:proofErr w:type="spellStart"/>
      <w:r w:rsidRPr="00B14ED8">
        <w:rPr>
          <w:rFonts w:ascii="Times New Roman" w:eastAsia="Times New Roman" w:hAnsi="Times New Roman" w:cs="Times New Roman"/>
          <w:b/>
          <w:bCs/>
          <w:sz w:val="24"/>
          <w:szCs w:val="24"/>
        </w:rPr>
        <w:t>Pengaruh</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Pembiayaan</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i/>
          <w:iCs/>
          <w:sz w:val="24"/>
          <w:szCs w:val="24"/>
        </w:rPr>
        <w:t>Mu</w:t>
      </w:r>
      <w:r w:rsidR="00E7657B" w:rsidRPr="00B14ED8">
        <w:rPr>
          <w:rFonts w:ascii="Times New Roman" w:eastAsia="Times New Roman" w:hAnsi="Times New Roman" w:cs="Times New Roman"/>
          <w:b/>
          <w:bCs/>
          <w:i/>
          <w:iCs/>
          <w:sz w:val="24"/>
          <w:szCs w:val="24"/>
        </w:rPr>
        <w:t>syarakah</w:t>
      </w:r>
      <w:proofErr w:type="spellEnd"/>
      <w:r w:rsidRPr="00B14ED8">
        <w:rPr>
          <w:rFonts w:ascii="Times New Roman" w:eastAsia="Times New Roman" w:hAnsi="Times New Roman" w:cs="Times New Roman"/>
          <w:b/>
          <w:bCs/>
          <w:i/>
          <w:iCs/>
          <w:sz w:val="24"/>
          <w:szCs w:val="24"/>
        </w:rPr>
        <w:t xml:space="preserve"> </w:t>
      </w:r>
      <w:proofErr w:type="spellStart"/>
      <w:r w:rsidRPr="00B14ED8">
        <w:rPr>
          <w:rFonts w:ascii="Times New Roman" w:eastAsia="Times New Roman" w:hAnsi="Times New Roman" w:cs="Times New Roman"/>
          <w:b/>
          <w:bCs/>
          <w:sz w:val="24"/>
          <w:szCs w:val="24"/>
        </w:rPr>
        <w:t>terhadap</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Kinerja</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Keuangan</w:t>
      </w:r>
      <w:proofErr w:type="spellEnd"/>
    </w:p>
    <w:p w14:paraId="66FFB473" w14:textId="2F87595B" w:rsidR="00186143" w:rsidRPr="00B14ED8" w:rsidRDefault="0009652F" w:rsidP="00B14ED8">
      <w:pPr>
        <w:pStyle w:val="ListParagraph"/>
        <w:spacing w:after="0" w:line="360" w:lineRule="auto"/>
        <w:ind w:left="567"/>
        <w:jc w:val="both"/>
        <w:rPr>
          <w:rFonts w:ascii="Times New Roman" w:eastAsia="Times New Roman" w:hAnsi="Times New Roman" w:cs="Times New Roman"/>
          <w:sz w:val="24"/>
          <w:szCs w:val="24"/>
        </w:rPr>
      </w:pPr>
      <w:r w:rsidRPr="00B14ED8">
        <w:rPr>
          <w:rFonts w:ascii="Times New Roman" w:eastAsia="Times New Roman" w:hAnsi="Times New Roman" w:cs="Times New Roman"/>
          <w:sz w:val="24"/>
          <w:szCs w:val="24"/>
        </w:rPr>
        <w:t xml:space="preserve">Nilai </w:t>
      </w:r>
      <w:proofErr w:type="spellStart"/>
      <w:r w:rsidRPr="00B14ED8">
        <w:rPr>
          <w:rFonts w:ascii="Times New Roman" w:eastAsia="Times New Roman" w:hAnsi="Times New Roman" w:cs="Times New Roman"/>
          <w:sz w:val="24"/>
          <w:szCs w:val="24"/>
        </w:rPr>
        <w:t>koefisien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pembiayaan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i/>
          <w:iCs/>
          <w:sz w:val="24"/>
          <w:szCs w:val="24"/>
        </w:rPr>
        <w:t>musyarakah</w:t>
      </w:r>
      <w:proofErr w:type="spellEnd"/>
      <w:r w:rsidRPr="00B14ED8">
        <w:rPr>
          <w:rFonts w:ascii="Times New Roman" w:eastAsia="Times New Roman" w:hAnsi="Times New Roman" w:cs="Times New Roman"/>
          <w:i/>
          <w:iCs/>
          <w:sz w:val="24"/>
          <w:szCs w:val="24"/>
        </w:rPr>
        <w:t xml:space="preserve"> </w:t>
      </w:r>
      <w:proofErr w:type="spellStart"/>
      <w:r w:rsidRPr="00B14ED8">
        <w:rPr>
          <w:rFonts w:ascii="Times New Roman" w:eastAsia="Times New Roman" w:hAnsi="Times New Roman" w:cs="Times New Roman"/>
          <w:sz w:val="24"/>
          <w:szCs w:val="24"/>
        </w:rPr>
        <w:t>diperoleh</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sebesar</w:t>
      </w:r>
      <w:proofErr w:type="spellEnd"/>
      <w:r w:rsidRPr="00B14ED8">
        <w:rPr>
          <w:rFonts w:ascii="Times New Roman" w:eastAsia="Times New Roman" w:hAnsi="Times New Roman" w:cs="Times New Roman"/>
          <w:sz w:val="24"/>
          <w:szCs w:val="24"/>
        </w:rPr>
        <w:t xml:space="preserve"> 4,073 </w:t>
      </w:r>
      <w:proofErr w:type="spellStart"/>
      <w:r w:rsidRPr="00B14ED8">
        <w:rPr>
          <w:rFonts w:ascii="Times New Roman" w:eastAsia="Times New Roman" w:hAnsi="Times New Roman" w:cs="Times New Roman"/>
          <w:sz w:val="24"/>
          <w:szCs w:val="24"/>
        </w:rPr>
        <w:t>dengan</w:t>
      </w:r>
      <w:proofErr w:type="spellEnd"/>
      <w:r w:rsidRPr="00B14ED8">
        <w:rPr>
          <w:rFonts w:ascii="Times New Roman" w:eastAsia="Times New Roman" w:hAnsi="Times New Roman" w:cs="Times New Roman"/>
          <w:sz w:val="24"/>
          <w:szCs w:val="24"/>
        </w:rPr>
        <w:t xml:space="preserve"> P-Value 0,035 &lt; 0,05 yang </w:t>
      </w:r>
      <w:proofErr w:type="spellStart"/>
      <w:r w:rsidRPr="00B14ED8">
        <w:rPr>
          <w:rFonts w:ascii="Times New Roman" w:eastAsia="Times New Roman" w:hAnsi="Times New Roman" w:cs="Times New Roman"/>
          <w:sz w:val="24"/>
          <w:szCs w:val="24"/>
        </w:rPr>
        <w:t>berarti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bahwa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pembiayaan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i/>
          <w:iCs/>
          <w:sz w:val="24"/>
          <w:szCs w:val="24"/>
        </w:rPr>
        <w:t>musyarakah</w:t>
      </w:r>
      <w:proofErr w:type="spellEnd"/>
      <w:r w:rsidRPr="00B14ED8">
        <w:rPr>
          <w:rFonts w:ascii="Times New Roman" w:eastAsia="Times New Roman" w:hAnsi="Times New Roman" w:cs="Times New Roman"/>
          <w:i/>
          <w:iCs/>
          <w:sz w:val="24"/>
          <w:szCs w:val="24"/>
        </w:rPr>
        <w:t xml:space="preserve"> </w:t>
      </w:r>
      <w:proofErr w:type="spellStart"/>
      <w:r w:rsidRPr="00B14ED8">
        <w:rPr>
          <w:rFonts w:ascii="Times New Roman" w:eastAsia="Times New Roman" w:hAnsi="Times New Roman" w:cs="Times New Roman"/>
          <w:sz w:val="24"/>
          <w:szCs w:val="24"/>
        </w:rPr>
        <w:t>terbukti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memberikan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pengaruh</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positif</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terhadap</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kinerja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karyawan</w:t>
      </w:r>
      <w:proofErr w:type="spellEnd"/>
      <w:r w:rsidR="0077085C" w:rsidRPr="00B14ED8">
        <w:rPr>
          <w:rFonts w:ascii="Times New Roman" w:eastAsia="Times New Roman" w:hAnsi="Times New Roman" w:cs="Times New Roman"/>
          <w:sz w:val="24"/>
          <w:szCs w:val="24"/>
        </w:rPr>
        <w:t>.</w:t>
      </w:r>
      <w:r w:rsidR="00E824FF" w:rsidRPr="00B14ED8">
        <w:rPr>
          <w:rFonts w:ascii="Times New Roman" w:eastAsia="Times New Roman" w:hAnsi="Times New Roman" w:cs="Times New Roman"/>
          <w:sz w:val="24"/>
          <w:szCs w:val="24"/>
        </w:rPr>
        <w:t xml:space="preserve"> </w:t>
      </w:r>
      <w:proofErr w:type="spellStart"/>
      <w:r w:rsidR="00E824FF" w:rsidRPr="00B14ED8">
        <w:rPr>
          <w:rFonts w:ascii="Times New Roman" w:eastAsia="Times New Roman" w:hAnsi="Times New Roman" w:cs="Times New Roman"/>
          <w:sz w:val="24"/>
          <w:szCs w:val="24"/>
        </w:rPr>
        <w:t>Keterangan</w:t>
      </w:r>
      <w:proofErr w:type="spellEnd"/>
      <w:r w:rsidR="00E824FF" w:rsidRPr="00B14ED8">
        <w:rPr>
          <w:rFonts w:ascii="Times New Roman" w:eastAsia="Times New Roman" w:hAnsi="Times New Roman" w:cs="Times New Roman"/>
          <w:sz w:val="24"/>
          <w:szCs w:val="24"/>
        </w:rPr>
        <w:t xml:space="preserve"> </w:t>
      </w:r>
      <w:proofErr w:type="spellStart"/>
      <w:r w:rsidR="00E824FF" w:rsidRPr="00B14ED8">
        <w:rPr>
          <w:rFonts w:ascii="Times New Roman" w:eastAsia="Times New Roman" w:hAnsi="Times New Roman" w:cs="Times New Roman"/>
          <w:sz w:val="24"/>
          <w:szCs w:val="24"/>
        </w:rPr>
        <w:t>ini</w:t>
      </w:r>
      <w:proofErr w:type="spellEnd"/>
      <w:r w:rsidR="00E824FF" w:rsidRPr="00B14ED8">
        <w:rPr>
          <w:rFonts w:ascii="Times New Roman" w:eastAsia="Times New Roman" w:hAnsi="Times New Roman" w:cs="Times New Roman"/>
          <w:sz w:val="24"/>
          <w:szCs w:val="24"/>
        </w:rPr>
        <w:t xml:space="preserve"> </w:t>
      </w:r>
      <w:proofErr w:type="spellStart"/>
      <w:r w:rsidR="00E824FF" w:rsidRPr="00B14ED8">
        <w:rPr>
          <w:rFonts w:ascii="Times New Roman" w:eastAsia="Times New Roman" w:hAnsi="Times New Roman" w:cs="Times New Roman"/>
          <w:sz w:val="24"/>
          <w:szCs w:val="24"/>
        </w:rPr>
        <w:t>mengindikasikan</w:t>
      </w:r>
      <w:proofErr w:type="spellEnd"/>
      <w:r w:rsidR="00E824FF" w:rsidRPr="00B14ED8">
        <w:rPr>
          <w:rFonts w:ascii="Times New Roman" w:eastAsia="Times New Roman" w:hAnsi="Times New Roman" w:cs="Times New Roman"/>
          <w:sz w:val="24"/>
          <w:szCs w:val="24"/>
        </w:rPr>
        <w:t xml:space="preserve"> </w:t>
      </w:r>
      <w:proofErr w:type="spellStart"/>
      <w:r w:rsidR="00E824FF" w:rsidRPr="00B14ED8">
        <w:rPr>
          <w:rFonts w:ascii="Times New Roman" w:eastAsia="Times New Roman" w:hAnsi="Times New Roman" w:cs="Times New Roman"/>
          <w:sz w:val="24"/>
          <w:szCs w:val="24"/>
        </w:rPr>
        <w:t>bahwa</w:t>
      </w:r>
      <w:proofErr w:type="spellEnd"/>
      <w:r w:rsidR="00E824FF" w:rsidRPr="00B14ED8">
        <w:rPr>
          <w:rFonts w:ascii="Times New Roman" w:eastAsia="Times New Roman" w:hAnsi="Times New Roman" w:cs="Times New Roman"/>
          <w:sz w:val="24"/>
          <w:szCs w:val="24"/>
        </w:rPr>
        <w:t xml:space="preserve"> H</w:t>
      </w:r>
      <w:r w:rsidR="009A33CD" w:rsidRPr="00B14ED8">
        <w:rPr>
          <w:rFonts w:ascii="Times New Roman" w:eastAsia="Times New Roman" w:hAnsi="Times New Roman" w:cs="Times New Roman"/>
          <w:sz w:val="24"/>
          <w:szCs w:val="24"/>
        </w:rPr>
        <w:t>2</w:t>
      </w:r>
      <w:r w:rsidR="00E824FF" w:rsidRPr="00B14ED8">
        <w:rPr>
          <w:rFonts w:ascii="Times New Roman" w:eastAsia="Times New Roman" w:hAnsi="Times New Roman" w:cs="Times New Roman"/>
          <w:sz w:val="24"/>
          <w:szCs w:val="24"/>
        </w:rPr>
        <w:t xml:space="preserve"> </w:t>
      </w:r>
      <w:proofErr w:type="spellStart"/>
      <w:r w:rsidR="00E824FF" w:rsidRPr="00B14ED8">
        <w:rPr>
          <w:rFonts w:ascii="Times New Roman" w:eastAsia="Times New Roman" w:hAnsi="Times New Roman" w:cs="Times New Roman"/>
          <w:sz w:val="24"/>
          <w:szCs w:val="24"/>
        </w:rPr>
        <w:t>penelitian</w:t>
      </w:r>
      <w:proofErr w:type="spellEnd"/>
      <w:r w:rsidR="00E824FF" w:rsidRPr="00B14ED8">
        <w:rPr>
          <w:rFonts w:ascii="Times New Roman" w:eastAsia="Times New Roman" w:hAnsi="Times New Roman" w:cs="Times New Roman"/>
          <w:sz w:val="24"/>
          <w:szCs w:val="24"/>
        </w:rPr>
        <w:t xml:space="preserve"> </w:t>
      </w:r>
      <w:proofErr w:type="spellStart"/>
      <w:r w:rsidR="00E824FF" w:rsidRPr="00B14ED8">
        <w:rPr>
          <w:rFonts w:ascii="Times New Roman" w:eastAsia="Times New Roman" w:hAnsi="Times New Roman" w:cs="Times New Roman"/>
          <w:sz w:val="24"/>
          <w:szCs w:val="24"/>
        </w:rPr>
        <w:t>diterima</w:t>
      </w:r>
      <w:proofErr w:type="spellEnd"/>
      <w:r w:rsidR="007A21F1" w:rsidRPr="00B14ED8">
        <w:rPr>
          <w:rFonts w:ascii="Times New Roman" w:eastAsia="Times New Roman" w:hAnsi="Times New Roman" w:cs="Times New Roman"/>
          <w:sz w:val="24"/>
          <w:szCs w:val="24"/>
        </w:rPr>
        <w:t>.</w:t>
      </w:r>
      <w:r w:rsidR="00FF3F1E" w:rsidRPr="00B14ED8">
        <w:rPr>
          <w:rFonts w:ascii="Times New Roman" w:eastAsia="Times New Roman" w:hAnsi="Times New Roman" w:cs="Times New Roman"/>
          <w:sz w:val="24"/>
          <w:szCs w:val="24"/>
        </w:rPr>
        <w:t xml:space="preserve"> </w:t>
      </w:r>
      <w:proofErr w:type="spellStart"/>
      <w:r w:rsidR="004129E4" w:rsidRPr="00B14ED8">
        <w:rPr>
          <w:rFonts w:ascii="Times New Roman" w:eastAsia="Times New Roman" w:hAnsi="Times New Roman" w:cs="Times New Roman"/>
          <w:sz w:val="24"/>
          <w:szCs w:val="24"/>
        </w:rPr>
        <w:t>Artinya</w:t>
      </w:r>
      <w:proofErr w:type="spellEnd"/>
      <w:r w:rsidR="004129E4" w:rsidRPr="00B14ED8">
        <w:rPr>
          <w:rFonts w:ascii="Times New Roman" w:eastAsia="Times New Roman" w:hAnsi="Times New Roman" w:cs="Times New Roman"/>
          <w:sz w:val="24"/>
          <w:szCs w:val="24"/>
        </w:rPr>
        <w:t xml:space="preserve"> </w:t>
      </w:r>
      <w:proofErr w:type="spellStart"/>
      <w:r w:rsidR="004129E4" w:rsidRPr="00B14ED8">
        <w:rPr>
          <w:rFonts w:ascii="Times New Roman" w:eastAsia="Times New Roman" w:hAnsi="Times New Roman" w:cs="Times New Roman"/>
          <w:sz w:val="24"/>
          <w:szCs w:val="24"/>
        </w:rPr>
        <w:t>pembiayaan</w:t>
      </w:r>
      <w:proofErr w:type="spellEnd"/>
      <w:r w:rsidR="004129E4" w:rsidRPr="00B14ED8">
        <w:rPr>
          <w:rFonts w:ascii="Times New Roman" w:eastAsia="Times New Roman" w:hAnsi="Times New Roman" w:cs="Times New Roman"/>
          <w:sz w:val="24"/>
          <w:szCs w:val="24"/>
        </w:rPr>
        <w:t xml:space="preserve"> </w:t>
      </w:r>
      <w:proofErr w:type="spellStart"/>
      <w:r w:rsidR="004129E4" w:rsidRPr="00B14ED8">
        <w:rPr>
          <w:rFonts w:ascii="Times New Roman" w:eastAsia="Times New Roman" w:hAnsi="Times New Roman" w:cs="Times New Roman"/>
          <w:i/>
          <w:iCs/>
          <w:sz w:val="24"/>
          <w:szCs w:val="24"/>
        </w:rPr>
        <w:t>musyarakah</w:t>
      </w:r>
      <w:proofErr w:type="spellEnd"/>
      <w:r w:rsidR="004129E4" w:rsidRPr="00B14ED8">
        <w:rPr>
          <w:rFonts w:ascii="Times New Roman" w:eastAsia="Times New Roman" w:hAnsi="Times New Roman" w:cs="Times New Roman"/>
          <w:i/>
          <w:iCs/>
          <w:sz w:val="24"/>
          <w:szCs w:val="24"/>
        </w:rPr>
        <w:t xml:space="preserve"> </w:t>
      </w:r>
      <w:proofErr w:type="spellStart"/>
      <w:r w:rsidR="004129E4" w:rsidRPr="00B14ED8">
        <w:rPr>
          <w:rFonts w:ascii="Times New Roman" w:eastAsia="Times New Roman" w:hAnsi="Times New Roman" w:cs="Times New Roman"/>
          <w:sz w:val="24"/>
          <w:szCs w:val="24"/>
        </w:rPr>
        <w:t>mampu</w:t>
      </w:r>
      <w:proofErr w:type="spellEnd"/>
      <w:r w:rsidR="004129E4" w:rsidRPr="00B14ED8">
        <w:rPr>
          <w:rFonts w:ascii="Times New Roman" w:eastAsia="Times New Roman" w:hAnsi="Times New Roman" w:cs="Times New Roman"/>
          <w:sz w:val="24"/>
          <w:szCs w:val="24"/>
        </w:rPr>
        <w:t xml:space="preserve"> </w:t>
      </w:r>
      <w:proofErr w:type="spellStart"/>
      <w:r w:rsidR="004129E4" w:rsidRPr="00B14ED8">
        <w:rPr>
          <w:rFonts w:ascii="Times New Roman" w:eastAsia="Times New Roman" w:hAnsi="Times New Roman" w:cs="Times New Roman"/>
          <w:sz w:val="24"/>
          <w:szCs w:val="24"/>
        </w:rPr>
        <w:t>dikelola</w:t>
      </w:r>
      <w:proofErr w:type="spellEnd"/>
      <w:r w:rsidR="004129E4" w:rsidRPr="00B14ED8">
        <w:rPr>
          <w:rFonts w:ascii="Times New Roman" w:eastAsia="Times New Roman" w:hAnsi="Times New Roman" w:cs="Times New Roman"/>
          <w:sz w:val="24"/>
          <w:szCs w:val="24"/>
        </w:rPr>
        <w:t xml:space="preserve"> </w:t>
      </w:r>
      <w:proofErr w:type="spellStart"/>
      <w:r w:rsidR="004129E4" w:rsidRPr="00B14ED8">
        <w:rPr>
          <w:rFonts w:ascii="Times New Roman" w:eastAsia="Times New Roman" w:hAnsi="Times New Roman" w:cs="Times New Roman"/>
          <w:sz w:val="24"/>
          <w:szCs w:val="24"/>
        </w:rPr>
        <w:t>dengan</w:t>
      </w:r>
      <w:proofErr w:type="spellEnd"/>
      <w:r w:rsidR="004129E4" w:rsidRPr="00B14ED8">
        <w:rPr>
          <w:rFonts w:ascii="Times New Roman" w:eastAsia="Times New Roman" w:hAnsi="Times New Roman" w:cs="Times New Roman"/>
          <w:sz w:val="24"/>
          <w:szCs w:val="24"/>
        </w:rPr>
        <w:t xml:space="preserve"> </w:t>
      </w:r>
      <w:proofErr w:type="spellStart"/>
      <w:r w:rsidR="004129E4" w:rsidRPr="00B14ED8">
        <w:rPr>
          <w:rFonts w:ascii="Times New Roman" w:eastAsia="Times New Roman" w:hAnsi="Times New Roman" w:cs="Times New Roman"/>
          <w:sz w:val="24"/>
          <w:szCs w:val="24"/>
        </w:rPr>
        <w:t>efisien</w:t>
      </w:r>
      <w:proofErr w:type="spellEnd"/>
      <w:r w:rsidR="004129E4" w:rsidRPr="00B14ED8">
        <w:rPr>
          <w:rFonts w:ascii="Times New Roman" w:eastAsia="Times New Roman" w:hAnsi="Times New Roman" w:cs="Times New Roman"/>
          <w:sz w:val="24"/>
          <w:szCs w:val="24"/>
        </w:rPr>
        <w:t xml:space="preserve"> oleh </w:t>
      </w:r>
      <w:proofErr w:type="spellStart"/>
      <w:r w:rsidR="004129E4" w:rsidRPr="00B14ED8">
        <w:rPr>
          <w:rFonts w:ascii="Times New Roman" w:eastAsia="Times New Roman" w:hAnsi="Times New Roman" w:cs="Times New Roman"/>
          <w:sz w:val="24"/>
          <w:szCs w:val="24"/>
        </w:rPr>
        <w:t>pihak</w:t>
      </w:r>
      <w:proofErr w:type="spellEnd"/>
      <w:r w:rsidR="004129E4" w:rsidRPr="00B14ED8">
        <w:rPr>
          <w:rFonts w:ascii="Times New Roman" w:eastAsia="Times New Roman" w:hAnsi="Times New Roman" w:cs="Times New Roman"/>
          <w:sz w:val="24"/>
          <w:szCs w:val="24"/>
        </w:rPr>
        <w:t xml:space="preserve"> </w:t>
      </w:r>
      <w:proofErr w:type="spellStart"/>
      <w:r w:rsidR="004129E4" w:rsidRPr="00B14ED8">
        <w:rPr>
          <w:rFonts w:ascii="Times New Roman" w:eastAsia="Times New Roman" w:hAnsi="Times New Roman" w:cs="Times New Roman"/>
          <w:sz w:val="24"/>
          <w:szCs w:val="24"/>
        </w:rPr>
        <w:t>perbankan</w:t>
      </w:r>
      <w:proofErr w:type="spellEnd"/>
      <w:r w:rsidR="004129E4" w:rsidRPr="00B14ED8">
        <w:rPr>
          <w:rFonts w:ascii="Times New Roman" w:eastAsia="Times New Roman" w:hAnsi="Times New Roman" w:cs="Times New Roman"/>
          <w:sz w:val="24"/>
          <w:szCs w:val="24"/>
        </w:rPr>
        <w:t xml:space="preserve"> </w:t>
      </w:r>
      <w:proofErr w:type="spellStart"/>
      <w:r w:rsidR="004129E4" w:rsidRPr="00B14ED8">
        <w:rPr>
          <w:rFonts w:ascii="Times New Roman" w:eastAsia="Times New Roman" w:hAnsi="Times New Roman" w:cs="Times New Roman"/>
          <w:sz w:val="24"/>
          <w:szCs w:val="24"/>
        </w:rPr>
        <w:t>sehingga</w:t>
      </w:r>
      <w:proofErr w:type="spellEnd"/>
      <w:r w:rsidR="004129E4" w:rsidRPr="00B14ED8">
        <w:rPr>
          <w:rFonts w:ascii="Times New Roman" w:eastAsia="Times New Roman" w:hAnsi="Times New Roman" w:cs="Times New Roman"/>
          <w:sz w:val="24"/>
          <w:szCs w:val="24"/>
        </w:rPr>
        <w:t xml:space="preserve"> </w:t>
      </w:r>
      <w:proofErr w:type="spellStart"/>
      <w:r w:rsidR="004129E4" w:rsidRPr="00B14ED8">
        <w:rPr>
          <w:rFonts w:ascii="Times New Roman" w:eastAsia="Times New Roman" w:hAnsi="Times New Roman" w:cs="Times New Roman"/>
          <w:sz w:val="24"/>
          <w:szCs w:val="24"/>
        </w:rPr>
        <w:t>dapat</w:t>
      </w:r>
      <w:proofErr w:type="spellEnd"/>
      <w:r w:rsidR="004129E4" w:rsidRPr="00B14ED8">
        <w:rPr>
          <w:rFonts w:ascii="Times New Roman" w:eastAsia="Times New Roman" w:hAnsi="Times New Roman" w:cs="Times New Roman"/>
          <w:sz w:val="24"/>
          <w:szCs w:val="24"/>
        </w:rPr>
        <w:t xml:space="preserve"> </w:t>
      </w:r>
      <w:proofErr w:type="spellStart"/>
      <w:r w:rsidR="004129E4" w:rsidRPr="00B14ED8">
        <w:rPr>
          <w:rFonts w:ascii="Times New Roman" w:eastAsia="Times New Roman" w:hAnsi="Times New Roman" w:cs="Times New Roman"/>
          <w:sz w:val="24"/>
          <w:szCs w:val="24"/>
        </w:rPr>
        <w:t>menghasilkan</w:t>
      </w:r>
      <w:proofErr w:type="spellEnd"/>
      <w:r w:rsidR="004129E4" w:rsidRPr="00B14ED8">
        <w:rPr>
          <w:rFonts w:ascii="Times New Roman" w:eastAsia="Times New Roman" w:hAnsi="Times New Roman" w:cs="Times New Roman"/>
          <w:sz w:val="24"/>
          <w:szCs w:val="24"/>
        </w:rPr>
        <w:t xml:space="preserve"> </w:t>
      </w:r>
      <w:proofErr w:type="spellStart"/>
      <w:r w:rsidR="004129E4" w:rsidRPr="00B14ED8">
        <w:rPr>
          <w:rFonts w:ascii="Times New Roman" w:eastAsia="Times New Roman" w:hAnsi="Times New Roman" w:cs="Times New Roman"/>
          <w:sz w:val="24"/>
          <w:szCs w:val="24"/>
        </w:rPr>
        <w:t>nilai</w:t>
      </w:r>
      <w:proofErr w:type="spellEnd"/>
      <w:r w:rsidR="004129E4" w:rsidRPr="00B14ED8">
        <w:rPr>
          <w:rFonts w:ascii="Times New Roman" w:eastAsia="Times New Roman" w:hAnsi="Times New Roman" w:cs="Times New Roman"/>
          <w:sz w:val="24"/>
          <w:szCs w:val="24"/>
        </w:rPr>
        <w:t xml:space="preserve"> </w:t>
      </w:r>
      <w:r w:rsidR="00BC6099" w:rsidRPr="00B14ED8">
        <w:rPr>
          <w:rFonts w:ascii="Times New Roman" w:eastAsia="Times New Roman" w:hAnsi="Times New Roman" w:cs="Times New Roman"/>
          <w:sz w:val="24"/>
          <w:szCs w:val="24"/>
        </w:rPr>
        <w:t>profit</w:t>
      </w:r>
      <w:r w:rsidR="0043214D" w:rsidRPr="00B14ED8">
        <w:rPr>
          <w:rFonts w:ascii="Times New Roman" w:eastAsia="Times New Roman" w:hAnsi="Times New Roman" w:cs="Times New Roman"/>
          <w:sz w:val="24"/>
          <w:szCs w:val="24"/>
        </w:rPr>
        <w:t xml:space="preserve"> yang</w:t>
      </w:r>
      <w:r w:rsidR="00A254C0" w:rsidRPr="00B14ED8">
        <w:rPr>
          <w:rFonts w:ascii="Times New Roman" w:eastAsia="Times New Roman" w:hAnsi="Times New Roman" w:cs="Times New Roman"/>
          <w:sz w:val="24"/>
          <w:szCs w:val="24"/>
        </w:rPr>
        <w:t xml:space="preserve"> </w:t>
      </w:r>
      <w:proofErr w:type="spellStart"/>
      <w:r w:rsidR="00A254C0" w:rsidRPr="00B14ED8">
        <w:rPr>
          <w:rFonts w:ascii="Times New Roman" w:eastAsia="Times New Roman" w:hAnsi="Times New Roman" w:cs="Times New Roman"/>
          <w:sz w:val="24"/>
          <w:szCs w:val="24"/>
        </w:rPr>
        <w:t>baik</w:t>
      </w:r>
      <w:proofErr w:type="spellEnd"/>
      <w:r w:rsidR="00A254C0" w:rsidRPr="00B14ED8">
        <w:rPr>
          <w:rFonts w:ascii="Times New Roman" w:eastAsia="Times New Roman" w:hAnsi="Times New Roman" w:cs="Times New Roman"/>
          <w:sz w:val="24"/>
          <w:szCs w:val="24"/>
        </w:rPr>
        <w:t xml:space="preserve"> </w:t>
      </w:r>
      <w:proofErr w:type="spellStart"/>
      <w:r w:rsidR="00A254C0" w:rsidRPr="00B14ED8">
        <w:rPr>
          <w:rFonts w:ascii="Times New Roman" w:eastAsia="Times New Roman" w:hAnsi="Times New Roman" w:cs="Times New Roman"/>
          <w:sz w:val="24"/>
          <w:szCs w:val="24"/>
        </w:rPr>
        <w:t>untuk</w:t>
      </w:r>
      <w:proofErr w:type="spellEnd"/>
      <w:r w:rsidR="00A254C0" w:rsidRPr="00B14ED8">
        <w:rPr>
          <w:rFonts w:ascii="Times New Roman" w:eastAsia="Times New Roman" w:hAnsi="Times New Roman" w:cs="Times New Roman"/>
          <w:sz w:val="24"/>
          <w:szCs w:val="24"/>
        </w:rPr>
        <w:t xml:space="preserve"> </w:t>
      </w:r>
      <w:proofErr w:type="spellStart"/>
      <w:r w:rsidR="00A254C0" w:rsidRPr="00B14ED8">
        <w:rPr>
          <w:rFonts w:ascii="Times New Roman" w:eastAsia="Times New Roman" w:hAnsi="Times New Roman" w:cs="Times New Roman"/>
          <w:sz w:val="24"/>
          <w:szCs w:val="24"/>
        </w:rPr>
        <w:t>perbankan</w:t>
      </w:r>
      <w:proofErr w:type="spellEnd"/>
      <w:r w:rsidR="00A254C0" w:rsidRPr="00B14ED8">
        <w:rPr>
          <w:rFonts w:ascii="Times New Roman" w:eastAsia="Times New Roman" w:hAnsi="Times New Roman" w:cs="Times New Roman"/>
          <w:sz w:val="24"/>
          <w:szCs w:val="24"/>
        </w:rPr>
        <w:t xml:space="preserve"> </w:t>
      </w:r>
      <w:proofErr w:type="spellStart"/>
      <w:r w:rsidR="00A254C0" w:rsidRPr="00B14ED8">
        <w:rPr>
          <w:rFonts w:ascii="Times New Roman" w:eastAsia="Times New Roman" w:hAnsi="Times New Roman" w:cs="Times New Roman"/>
          <w:sz w:val="24"/>
          <w:szCs w:val="24"/>
        </w:rPr>
        <w:t>maupun</w:t>
      </w:r>
      <w:proofErr w:type="spellEnd"/>
      <w:r w:rsidR="00A254C0" w:rsidRPr="00B14ED8">
        <w:rPr>
          <w:rFonts w:ascii="Times New Roman" w:eastAsia="Times New Roman" w:hAnsi="Times New Roman" w:cs="Times New Roman"/>
          <w:sz w:val="24"/>
          <w:szCs w:val="24"/>
        </w:rPr>
        <w:t xml:space="preserve"> </w:t>
      </w:r>
      <w:proofErr w:type="spellStart"/>
      <w:r w:rsidR="0002166F" w:rsidRPr="00B14ED8">
        <w:rPr>
          <w:rFonts w:ascii="Times New Roman" w:eastAsia="Times New Roman" w:hAnsi="Times New Roman" w:cs="Times New Roman"/>
          <w:sz w:val="24"/>
          <w:szCs w:val="24"/>
        </w:rPr>
        <w:t>nasabah</w:t>
      </w:r>
      <w:proofErr w:type="spellEnd"/>
      <w:r w:rsidR="0002166F" w:rsidRPr="00B14ED8">
        <w:rPr>
          <w:rFonts w:ascii="Times New Roman" w:eastAsia="Times New Roman" w:hAnsi="Times New Roman" w:cs="Times New Roman"/>
          <w:sz w:val="24"/>
          <w:szCs w:val="24"/>
        </w:rPr>
        <w:t xml:space="preserve"> </w:t>
      </w:r>
      <w:proofErr w:type="spellStart"/>
      <w:r w:rsidR="0002166F" w:rsidRPr="00B14ED8">
        <w:rPr>
          <w:rFonts w:ascii="Times New Roman" w:eastAsia="Times New Roman" w:hAnsi="Times New Roman" w:cs="Times New Roman"/>
          <w:sz w:val="24"/>
          <w:szCs w:val="24"/>
        </w:rPr>
        <w:t>pengelola</w:t>
      </w:r>
      <w:proofErr w:type="spellEnd"/>
      <w:r w:rsidR="0002166F" w:rsidRPr="00B14ED8">
        <w:rPr>
          <w:rFonts w:ascii="Times New Roman" w:eastAsia="Times New Roman" w:hAnsi="Times New Roman" w:cs="Times New Roman"/>
          <w:sz w:val="24"/>
          <w:szCs w:val="24"/>
        </w:rPr>
        <w:t xml:space="preserve"> </w:t>
      </w:r>
      <w:proofErr w:type="spellStart"/>
      <w:r w:rsidR="0002166F" w:rsidRPr="00B14ED8">
        <w:rPr>
          <w:rFonts w:ascii="Times New Roman" w:eastAsia="Times New Roman" w:hAnsi="Times New Roman" w:cs="Times New Roman"/>
          <w:sz w:val="24"/>
          <w:szCs w:val="24"/>
        </w:rPr>
        <w:t>bisnis</w:t>
      </w:r>
      <w:proofErr w:type="spellEnd"/>
      <w:r w:rsidR="0002166F" w:rsidRPr="00B14ED8">
        <w:rPr>
          <w:rFonts w:ascii="Times New Roman" w:eastAsia="Times New Roman" w:hAnsi="Times New Roman" w:cs="Times New Roman"/>
          <w:sz w:val="24"/>
          <w:szCs w:val="24"/>
        </w:rPr>
        <w:t xml:space="preserve">. Usaha </w:t>
      </w:r>
      <w:proofErr w:type="spellStart"/>
      <w:r w:rsidR="0002166F" w:rsidRPr="00B14ED8">
        <w:rPr>
          <w:rFonts w:ascii="Times New Roman" w:eastAsia="Times New Roman" w:hAnsi="Times New Roman" w:cs="Times New Roman"/>
          <w:sz w:val="24"/>
          <w:szCs w:val="24"/>
        </w:rPr>
        <w:t>bersama</w:t>
      </w:r>
      <w:proofErr w:type="spellEnd"/>
      <w:r w:rsidR="0002166F" w:rsidRPr="00B14ED8">
        <w:rPr>
          <w:rFonts w:ascii="Times New Roman" w:eastAsia="Times New Roman" w:hAnsi="Times New Roman" w:cs="Times New Roman"/>
          <w:sz w:val="24"/>
          <w:szCs w:val="24"/>
        </w:rPr>
        <w:t xml:space="preserve"> </w:t>
      </w:r>
      <w:proofErr w:type="spellStart"/>
      <w:r w:rsidR="0002166F" w:rsidRPr="00B14ED8">
        <w:rPr>
          <w:rFonts w:ascii="Times New Roman" w:eastAsia="Times New Roman" w:hAnsi="Times New Roman" w:cs="Times New Roman"/>
          <w:sz w:val="24"/>
          <w:szCs w:val="24"/>
        </w:rPr>
        <w:t>melalui</w:t>
      </w:r>
      <w:proofErr w:type="spellEnd"/>
      <w:r w:rsidR="0002166F" w:rsidRPr="00B14ED8">
        <w:rPr>
          <w:rFonts w:ascii="Times New Roman" w:eastAsia="Times New Roman" w:hAnsi="Times New Roman" w:cs="Times New Roman"/>
          <w:sz w:val="24"/>
          <w:szCs w:val="24"/>
        </w:rPr>
        <w:t xml:space="preserve"> </w:t>
      </w:r>
      <w:proofErr w:type="spellStart"/>
      <w:r w:rsidR="0002166F" w:rsidRPr="00B14ED8">
        <w:rPr>
          <w:rFonts w:ascii="Times New Roman" w:eastAsia="Times New Roman" w:hAnsi="Times New Roman" w:cs="Times New Roman"/>
          <w:sz w:val="24"/>
          <w:szCs w:val="24"/>
        </w:rPr>
        <w:t>akad</w:t>
      </w:r>
      <w:proofErr w:type="spellEnd"/>
      <w:r w:rsidR="0002166F" w:rsidRPr="00B14ED8">
        <w:rPr>
          <w:rFonts w:ascii="Times New Roman" w:eastAsia="Times New Roman" w:hAnsi="Times New Roman" w:cs="Times New Roman"/>
          <w:sz w:val="24"/>
          <w:szCs w:val="24"/>
        </w:rPr>
        <w:t xml:space="preserve"> </w:t>
      </w:r>
      <w:proofErr w:type="spellStart"/>
      <w:r w:rsidR="0002166F" w:rsidRPr="00B14ED8">
        <w:rPr>
          <w:rFonts w:ascii="Times New Roman" w:eastAsia="Times New Roman" w:hAnsi="Times New Roman" w:cs="Times New Roman"/>
          <w:i/>
          <w:iCs/>
          <w:sz w:val="24"/>
          <w:szCs w:val="24"/>
        </w:rPr>
        <w:t>musyarakah</w:t>
      </w:r>
      <w:proofErr w:type="spellEnd"/>
      <w:r w:rsidR="0002166F" w:rsidRPr="00B14ED8">
        <w:rPr>
          <w:rFonts w:ascii="Times New Roman" w:eastAsia="Times New Roman" w:hAnsi="Times New Roman" w:cs="Times New Roman"/>
          <w:i/>
          <w:iCs/>
          <w:sz w:val="24"/>
          <w:szCs w:val="24"/>
        </w:rPr>
        <w:t xml:space="preserve"> </w:t>
      </w:r>
      <w:proofErr w:type="spellStart"/>
      <w:r w:rsidR="0002166F" w:rsidRPr="00B14ED8">
        <w:rPr>
          <w:rFonts w:ascii="Times New Roman" w:eastAsia="Times New Roman" w:hAnsi="Times New Roman" w:cs="Times New Roman"/>
          <w:sz w:val="24"/>
          <w:szCs w:val="24"/>
        </w:rPr>
        <w:t>dapat</w:t>
      </w:r>
      <w:proofErr w:type="spellEnd"/>
      <w:r w:rsidR="0002166F" w:rsidRPr="00B14ED8">
        <w:rPr>
          <w:rFonts w:ascii="Times New Roman" w:eastAsia="Times New Roman" w:hAnsi="Times New Roman" w:cs="Times New Roman"/>
          <w:sz w:val="24"/>
          <w:szCs w:val="24"/>
        </w:rPr>
        <w:t xml:space="preserve"> </w:t>
      </w:r>
      <w:proofErr w:type="spellStart"/>
      <w:r w:rsidR="0002166F" w:rsidRPr="00B14ED8">
        <w:rPr>
          <w:rFonts w:ascii="Times New Roman" w:eastAsia="Times New Roman" w:hAnsi="Times New Roman" w:cs="Times New Roman"/>
          <w:sz w:val="24"/>
          <w:szCs w:val="24"/>
        </w:rPr>
        <w:t>meningkatkan</w:t>
      </w:r>
      <w:proofErr w:type="spellEnd"/>
      <w:r w:rsidR="0002166F" w:rsidRPr="00B14ED8">
        <w:rPr>
          <w:rFonts w:ascii="Times New Roman" w:eastAsia="Times New Roman" w:hAnsi="Times New Roman" w:cs="Times New Roman"/>
          <w:sz w:val="24"/>
          <w:szCs w:val="24"/>
        </w:rPr>
        <w:t xml:space="preserve"> </w:t>
      </w:r>
      <w:proofErr w:type="spellStart"/>
      <w:r w:rsidR="0002166F" w:rsidRPr="00B14ED8">
        <w:rPr>
          <w:rFonts w:ascii="Times New Roman" w:eastAsia="Times New Roman" w:hAnsi="Times New Roman" w:cs="Times New Roman"/>
          <w:sz w:val="24"/>
          <w:szCs w:val="24"/>
        </w:rPr>
        <w:t>peran</w:t>
      </w:r>
      <w:proofErr w:type="spellEnd"/>
      <w:r w:rsidR="0002166F" w:rsidRPr="00B14ED8">
        <w:rPr>
          <w:rFonts w:ascii="Times New Roman" w:eastAsia="Times New Roman" w:hAnsi="Times New Roman" w:cs="Times New Roman"/>
          <w:sz w:val="24"/>
          <w:szCs w:val="24"/>
        </w:rPr>
        <w:t xml:space="preserve"> </w:t>
      </w:r>
      <w:proofErr w:type="spellStart"/>
      <w:r w:rsidR="0002166F" w:rsidRPr="00B14ED8">
        <w:rPr>
          <w:rFonts w:ascii="Times New Roman" w:eastAsia="Times New Roman" w:hAnsi="Times New Roman" w:cs="Times New Roman"/>
          <w:sz w:val="24"/>
          <w:szCs w:val="24"/>
        </w:rPr>
        <w:t>perbankan</w:t>
      </w:r>
      <w:proofErr w:type="spellEnd"/>
      <w:r w:rsidR="0002166F" w:rsidRPr="00B14ED8">
        <w:rPr>
          <w:rFonts w:ascii="Times New Roman" w:eastAsia="Times New Roman" w:hAnsi="Times New Roman" w:cs="Times New Roman"/>
          <w:sz w:val="24"/>
          <w:szCs w:val="24"/>
        </w:rPr>
        <w:t xml:space="preserve"> di </w:t>
      </w:r>
      <w:proofErr w:type="spellStart"/>
      <w:r w:rsidR="0002166F" w:rsidRPr="00B14ED8">
        <w:rPr>
          <w:rFonts w:ascii="Times New Roman" w:eastAsia="Times New Roman" w:hAnsi="Times New Roman" w:cs="Times New Roman"/>
          <w:sz w:val="24"/>
          <w:szCs w:val="24"/>
        </w:rPr>
        <w:t>dalam</w:t>
      </w:r>
      <w:proofErr w:type="spellEnd"/>
      <w:r w:rsidR="0002166F" w:rsidRPr="00B14ED8">
        <w:rPr>
          <w:rFonts w:ascii="Times New Roman" w:eastAsia="Times New Roman" w:hAnsi="Times New Roman" w:cs="Times New Roman"/>
          <w:sz w:val="24"/>
          <w:szCs w:val="24"/>
        </w:rPr>
        <w:t xml:space="preserve"> </w:t>
      </w:r>
      <w:proofErr w:type="spellStart"/>
      <w:r w:rsidR="0002166F" w:rsidRPr="00B14ED8">
        <w:rPr>
          <w:rFonts w:ascii="Times New Roman" w:eastAsia="Times New Roman" w:hAnsi="Times New Roman" w:cs="Times New Roman"/>
          <w:sz w:val="24"/>
          <w:szCs w:val="24"/>
        </w:rPr>
        <w:t>pengelolaan</w:t>
      </w:r>
      <w:proofErr w:type="spellEnd"/>
      <w:r w:rsidR="0002166F" w:rsidRPr="00B14ED8">
        <w:rPr>
          <w:rFonts w:ascii="Times New Roman" w:eastAsia="Times New Roman" w:hAnsi="Times New Roman" w:cs="Times New Roman"/>
          <w:sz w:val="24"/>
          <w:szCs w:val="24"/>
        </w:rPr>
        <w:t xml:space="preserve"> </w:t>
      </w:r>
      <w:proofErr w:type="spellStart"/>
      <w:r w:rsidR="0002166F" w:rsidRPr="00B14ED8">
        <w:rPr>
          <w:rFonts w:ascii="Times New Roman" w:eastAsia="Times New Roman" w:hAnsi="Times New Roman" w:cs="Times New Roman"/>
          <w:sz w:val="24"/>
          <w:szCs w:val="24"/>
        </w:rPr>
        <w:t>usaha</w:t>
      </w:r>
      <w:proofErr w:type="spellEnd"/>
      <w:r w:rsidR="0002166F" w:rsidRPr="00B14ED8">
        <w:rPr>
          <w:rFonts w:ascii="Times New Roman" w:eastAsia="Times New Roman" w:hAnsi="Times New Roman" w:cs="Times New Roman"/>
          <w:sz w:val="24"/>
          <w:szCs w:val="24"/>
        </w:rPr>
        <w:t xml:space="preserve"> </w:t>
      </w:r>
      <w:proofErr w:type="spellStart"/>
      <w:r w:rsidR="00AD1D86" w:rsidRPr="00B14ED8">
        <w:rPr>
          <w:rFonts w:ascii="Times New Roman" w:eastAsia="Times New Roman" w:hAnsi="Times New Roman" w:cs="Times New Roman"/>
          <w:sz w:val="24"/>
          <w:szCs w:val="24"/>
        </w:rPr>
        <w:t>serta</w:t>
      </w:r>
      <w:proofErr w:type="spellEnd"/>
      <w:r w:rsidR="00AD1D86" w:rsidRPr="00B14ED8">
        <w:rPr>
          <w:rFonts w:ascii="Times New Roman" w:eastAsia="Times New Roman" w:hAnsi="Times New Roman" w:cs="Times New Roman"/>
          <w:sz w:val="24"/>
          <w:szCs w:val="24"/>
        </w:rPr>
        <w:t xml:space="preserve"> </w:t>
      </w:r>
      <w:proofErr w:type="spellStart"/>
      <w:r w:rsidR="00AD1D86" w:rsidRPr="00B14ED8">
        <w:rPr>
          <w:rFonts w:ascii="Times New Roman" w:eastAsia="Times New Roman" w:hAnsi="Times New Roman" w:cs="Times New Roman"/>
          <w:sz w:val="24"/>
          <w:szCs w:val="24"/>
        </w:rPr>
        <w:t>nilai</w:t>
      </w:r>
      <w:proofErr w:type="spellEnd"/>
      <w:r w:rsidR="00AD1D86" w:rsidRPr="00B14ED8">
        <w:rPr>
          <w:rFonts w:ascii="Times New Roman" w:eastAsia="Times New Roman" w:hAnsi="Times New Roman" w:cs="Times New Roman"/>
          <w:sz w:val="24"/>
          <w:szCs w:val="24"/>
        </w:rPr>
        <w:t xml:space="preserve"> </w:t>
      </w:r>
      <w:proofErr w:type="spellStart"/>
      <w:r w:rsidR="00AD1D86" w:rsidRPr="00B14ED8">
        <w:rPr>
          <w:rFonts w:ascii="Times New Roman" w:eastAsia="Times New Roman" w:hAnsi="Times New Roman" w:cs="Times New Roman"/>
          <w:sz w:val="24"/>
          <w:szCs w:val="24"/>
        </w:rPr>
        <w:t>transparansi</w:t>
      </w:r>
      <w:proofErr w:type="spellEnd"/>
      <w:r w:rsidR="00AD1D86" w:rsidRPr="00B14ED8">
        <w:rPr>
          <w:rFonts w:ascii="Times New Roman" w:eastAsia="Times New Roman" w:hAnsi="Times New Roman" w:cs="Times New Roman"/>
          <w:sz w:val="24"/>
          <w:szCs w:val="24"/>
        </w:rPr>
        <w:t xml:space="preserve"> </w:t>
      </w:r>
      <w:proofErr w:type="spellStart"/>
      <w:r w:rsidR="00AD1D86" w:rsidRPr="00B14ED8">
        <w:rPr>
          <w:rFonts w:ascii="Times New Roman" w:eastAsia="Times New Roman" w:hAnsi="Times New Roman" w:cs="Times New Roman"/>
          <w:sz w:val="24"/>
          <w:szCs w:val="24"/>
        </w:rPr>
        <w:t>operasional</w:t>
      </w:r>
      <w:proofErr w:type="spellEnd"/>
      <w:r w:rsidR="00AD1D86" w:rsidRPr="00B14ED8">
        <w:rPr>
          <w:rFonts w:ascii="Times New Roman" w:eastAsia="Times New Roman" w:hAnsi="Times New Roman" w:cs="Times New Roman"/>
          <w:sz w:val="24"/>
          <w:szCs w:val="24"/>
        </w:rPr>
        <w:t xml:space="preserve"> </w:t>
      </w:r>
      <w:proofErr w:type="spellStart"/>
      <w:r w:rsidR="009A663C" w:rsidRPr="00B14ED8">
        <w:rPr>
          <w:rFonts w:ascii="Times New Roman" w:eastAsia="Times New Roman" w:hAnsi="Times New Roman" w:cs="Times New Roman"/>
          <w:sz w:val="24"/>
          <w:szCs w:val="24"/>
        </w:rPr>
        <w:t>usaha</w:t>
      </w:r>
      <w:proofErr w:type="spellEnd"/>
      <w:r w:rsidR="009A663C" w:rsidRPr="00B14ED8">
        <w:rPr>
          <w:rFonts w:ascii="Times New Roman" w:eastAsia="Times New Roman" w:hAnsi="Times New Roman" w:cs="Times New Roman"/>
          <w:sz w:val="24"/>
          <w:szCs w:val="24"/>
        </w:rPr>
        <w:t xml:space="preserve"> juga </w:t>
      </w:r>
      <w:proofErr w:type="spellStart"/>
      <w:r w:rsidR="009A663C" w:rsidRPr="00B14ED8">
        <w:rPr>
          <w:rFonts w:ascii="Times New Roman" w:eastAsia="Times New Roman" w:hAnsi="Times New Roman" w:cs="Times New Roman"/>
          <w:sz w:val="24"/>
          <w:szCs w:val="24"/>
        </w:rPr>
        <w:t>dapat</w:t>
      </w:r>
      <w:proofErr w:type="spellEnd"/>
      <w:r w:rsidR="009A663C" w:rsidRPr="00B14ED8">
        <w:rPr>
          <w:rFonts w:ascii="Times New Roman" w:eastAsia="Times New Roman" w:hAnsi="Times New Roman" w:cs="Times New Roman"/>
          <w:sz w:val="24"/>
          <w:szCs w:val="24"/>
        </w:rPr>
        <w:t xml:space="preserve"> </w:t>
      </w:r>
      <w:proofErr w:type="spellStart"/>
      <w:r w:rsidR="009A663C" w:rsidRPr="00B14ED8">
        <w:rPr>
          <w:rFonts w:ascii="Times New Roman" w:eastAsia="Times New Roman" w:hAnsi="Times New Roman" w:cs="Times New Roman"/>
          <w:sz w:val="24"/>
          <w:szCs w:val="24"/>
        </w:rPr>
        <w:t>dipantau</w:t>
      </w:r>
      <w:proofErr w:type="spellEnd"/>
      <w:r w:rsidR="009A663C" w:rsidRPr="00B14ED8">
        <w:rPr>
          <w:rFonts w:ascii="Times New Roman" w:eastAsia="Times New Roman" w:hAnsi="Times New Roman" w:cs="Times New Roman"/>
          <w:sz w:val="24"/>
          <w:szCs w:val="24"/>
        </w:rPr>
        <w:t xml:space="preserve"> </w:t>
      </w:r>
      <w:proofErr w:type="spellStart"/>
      <w:r w:rsidR="009A663C" w:rsidRPr="00B14ED8">
        <w:rPr>
          <w:rFonts w:ascii="Times New Roman" w:eastAsia="Times New Roman" w:hAnsi="Times New Roman" w:cs="Times New Roman"/>
          <w:sz w:val="24"/>
          <w:szCs w:val="24"/>
        </w:rPr>
        <w:t>secara</w:t>
      </w:r>
      <w:proofErr w:type="spellEnd"/>
      <w:r w:rsidR="009A663C" w:rsidRPr="00B14ED8">
        <w:rPr>
          <w:rFonts w:ascii="Times New Roman" w:eastAsia="Times New Roman" w:hAnsi="Times New Roman" w:cs="Times New Roman"/>
          <w:sz w:val="24"/>
          <w:szCs w:val="24"/>
        </w:rPr>
        <w:t xml:space="preserve"> </w:t>
      </w:r>
      <w:proofErr w:type="spellStart"/>
      <w:r w:rsidR="009A663C" w:rsidRPr="00B14ED8">
        <w:rPr>
          <w:rFonts w:ascii="Times New Roman" w:eastAsia="Times New Roman" w:hAnsi="Times New Roman" w:cs="Times New Roman"/>
          <w:sz w:val="24"/>
          <w:szCs w:val="24"/>
        </w:rPr>
        <w:t>langsung</w:t>
      </w:r>
      <w:proofErr w:type="spellEnd"/>
      <w:r w:rsidR="009A663C" w:rsidRPr="00B14ED8">
        <w:rPr>
          <w:rFonts w:ascii="Times New Roman" w:eastAsia="Times New Roman" w:hAnsi="Times New Roman" w:cs="Times New Roman"/>
          <w:sz w:val="24"/>
          <w:szCs w:val="24"/>
        </w:rPr>
        <w:t xml:space="preserve"> </w:t>
      </w:r>
      <w:proofErr w:type="spellStart"/>
      <w:r w:rsidR="009A663C" w:rsidRPr="00B14ED8">
        <w:rPr>
          <w:rFonts w:ascii="Times New Roman" w:eastAsia="Times New Roman" w:hAnsi="Times New Roman" w:cs="Times New Roman"/>
          <w:sz w:val="24"/>
          <w:szCs w:val="24"/>
        </w:rPr>
        <w:t>dikarenakan</w:t>
      </w:r>
      <w:proofErr w:type="spellEnd"/>
      <w:r w:rsidR="009A663C" w:rsidRPr="00B14ED8">
        <w:rPr>
          <w:rFonts w:ascii="Times New Roman" w:eastAsia="Times New Roman" w:hAnsi="Times New Roman" w:cs="Times New Roman"/>
          <w:sz w:val="24"/>
          <w:szCs w:val="24"/>
        </w:rPr>
        <w:t xml:space="preserve"> </w:t>
      </w:r>
      <w:proofErr w:type="spellStart"/>
      <w:r w:rsidR="009A663C" w:rsidRPr="00B14ED8">
        <w:rPr>
          <w:rFonts w:ascii="Times New Roman" w:eastAsia="Times New Roman" w:hAnsi="Times New Roman" w:cs="Times New Roman"/>
          <w:sz w:val="24"/>
          <w:szCs w:val="24"/>
        </w:rPr>
        <w:t>pihak</w:t>
      </w:r>
      <w:proofErr w:type="spellEnd"/>
      <w:r w:rsidR="009A663C" w:rsidRPr="00B14ED8">
        <w:rPr>
          <w:rFonts w:ascii="Times New Roman" w:eastAsia="Times New Roman" w:hAnsi="Times New Roman" w:cs="Times New Roman"/>
          <w:sz w:val="24"/>
          <w:szCs w:val="24"/>
        </w:rPr>
        <w:t xml:space="preserve"> </w:t>
      </w:r>
      <w:proofErr w:type="spellStart"/>
      <w:r w:rsidR="009A663C" w:rsidRPr="00B14ED8">
        <w:rPr>
          <w:rFonts w:ascii="Times New Roman" w:eastAsia="Times New Roman" w:hAnsi="Times New Roman" w:cs="Times New Roman"/>
          <w:sz w:val="24"/>
          <w:szCs w:val="24"/>
        </w:rPr>
        <w:t>perbankan</w:t>
      </w:r>
      <w:proofErr w:type="spellEnd"/>
      <w:r w:rsidR="009A663C" w:rsidRPr="00B14ED8">
        <w:rPr>
          <w:rFonts w:ascii="Times New Roman" w:eastAsia="Times New Roman" w:hAnsi="Times New Roman" w:cs="Times New Roman"/>
          <w:sz w:val="24"/>
          <w:szCs w:val="24"/>
        </w:rPr>
        <w:t xml:space="preserve"> </w:t>
      </w:r>
      <w:proofErr w:type="spellStart"/>
      <w:r w:rsidR="009A663C" w:rsidRPr="00B14ED8">
        <w:rPr>
          <w:rFonts w:ascii="Times New Roman" w:eastAsia="Times New Roman" w:hAnsi="Times New Roman" w:cs="Times New Roman"/>
          <w:sz w:val="24"/>
          <w:szCs w:val="24"/>
        </w:rPr>
        <w:t>turut</w:t>
      </w:r>
      <w:proofErr w:type="spellEnd"/>
      <w:r w:rsidR="009A663C" w:rsidRPr="00B14ED8">
        <w:rPr>
          <w:rFonts w:ascii="Times New Roman" w:eastAsia="Times New Roman" w:hAnsi="Times New Roman" w:cs="Times New Roman"/>
          <w:sz w:val="24"/>
          <w:szCs w:val="24"/>
        </w:rPr>
        <w:t xml:space="preserve"> </w:t>
      </w:r>
      <w:proofErr w:type="spellStart"/>
      <w:r w:rsidR="009A663C" w:rsidRPr="00B14ED8">
        <w:rPr>
          <w:rFonts w:ascii="Times New Roman" w:eastAsia="Times New Roman" w:hAnsi="Times New Roman" w:cs="Times New Roman"/>
          <w:sz w:val="24"/>
          <w:szCs w:val="24"/>
        </w:rPr>
        <w:t>serta</w:t>
      </w:r>
      <w:proofErr w:type="spellEnd"/>
      <w:r w:rsidR="009A663C" w:rsidRPr="00B14ED8">
        <w:rPr>
          <w:rFonts w:ascii="Times New Roman" w:eastAsia="Times New Roman" w:hAnsi="Times New Roman" w:cs="Times New Roman"/>
          <w:sz w:val="24"/>
          <w:szCs w:val="24"/>
        </w:rPr>
        <w:t xml:space="preserve"> di </w:t>
      </w:r>
      <w:proofErr w:type="spellStart"/>
      <w:r w:rsidR="009A663C" w:rsidRPr="00B14ED8">
        <w:rPr>
          <w:rFonts w:ascii="Times New Roman" w:eastAsia="Times New Roman" w:hAnsi="Times New Roman" w:cs="Times New Roman"/>
          <w:sz w:val="24"/>
          <w:szCs w:val="24"/>
        </w:rPr>
        <w:t>dalam</w:t>
      </w:r>
      <w:proofErr w:type="spellEnd"/>
      <w:r w:rsidR="009A663C" w:rsidRPr="00B14ED8">
        <w:rPr>
          <w:rFonts w:ascii="Times New Roman" w:eastAsia="Times New Roman" w:hAnsi="Times New Roman" w:cs="Times New Roman"/>
          <w:sz w:val="24"/>
          <w:szCs w:val="24"/>
        </w:rPr>
        <w:t xml:space="preserve"> </w:t>
      </w:r>
      <w:proofErr w:type="spellStart"/>
      <w:r w:rsidR="009A663C" w:rsidRPr="00B14ED8">
        <w:rPr>
          <w:rFonts w:ascii="Times New Roman" w:eastAsia="Times New Roman" w:hAnsi="Times New Roman" w:cs="Times New Roman"/>
          <w:sz w:val="24"/>
          <w:szCs w:val="24"/>
        </w:rPr>
        <w:t>bisnis</w:t>
      </w:r>
      <w:proofErr w:type="spellEnd"/>
      <w:r w:rsidR="009A663C" w:rsidRPr="00B14ED8">
        <w:rPr>
          <w:rFonts w:ascii="Times New Roman" w:eastAsia="Times New Roman" w:hAnsi="Times New Roman" w:cs="Times New Roman"/>
          <w:sz w:val="24"/>
          <w:szCs w:val="24"/>
        </w:rPr>
        <w:t xml:space="preserve"> yang </w:t>
      </w:r>
      <w:proofErr w:type="spellStart"/>
      <w:r w:rsidR="009A663C" w:rsidRPr="00B14ED8">
        <w:rPr>
          <w:rFonts w:ascii="Times New Roman" w:eastAsia="Times New Roman" w:hAnsi="Times New Roman" w:cs="Times New Roman"/>
          <w:sz w:val="24"/>
          <w:szCs w:val="24"/>
        </w:rPr>
        <w:t>dilakukan</w:t>
      </w:r>
      <w:proofErr w:type="spellEnd"/>
      <w:r w:rsidR="001654F7" w:rsidRPr="00B14ED8">
        <w:rPr>
          <w:rFonts w:ascii="Times New Roman" w:eastAsia="Times New Roman" w:hAnsi="Times New Roman" w:cs="Times New Roman"/>
          <w:sz w:val="24"/>
          <w:szCs w:val="24"/>
        </w:rPr>
        <w:t xml:space="preserve">. </w:t>
      </w:r>
      <w:r w:rsidR="00C01AA3" w:rsidRPr="00B14ED8">
        <w:rPr>
          <w:rFonts w:ascii="Times New Roman" w:eastAsia="Times New Roman" w:hAnsi="Times New Roman" w:cs="Times New Roman"/>
          <w:sz w:val="24"/>
          <w:szCs w:val="24"/>
        </w:rPr>
        <w:t xml:space="preserve">Hal </w:t>
      </w:r>
      <w:proofErr w:type="spellStart"/>
      <w:r w:rsidR="00C01AA3" w:rsidRPr="00B14ED8">
        <w:rPr>
          <w:rFonts w:ascii="Times New Roman" w:eastAsia="Times New Roman" w:hAnsi="Times New Roman" w:cs="Times New Roman"/>
          <w:sz w:val="24"/>
          <w:szCs w:val="24"/>
        </w:rPr>
        <w:t>tersebut</w:t>
      </w:r>
      <w:proofErr w:type="spellEnd"/>
      <w:r w:rsidR="00022E37" w:rsidRPr="00B14ED8">
        <w:rPr>
          <w:rFonts w:ascii="Times New Roman" w:eastAsia="Times New Roman" w:hAnsi="Times New Roman" w:cs="Times New Roman"/>
          <w:sz w:val="24"/>
          <w:szCs w:val="24"/>
        </w:rPr>
        <w:t xml:space="preserve"> </w:t>
      </w:r>
      <w:proofErr w:type="spellStart"/>
      <w:r w:rsidR="001654F7" w:rsidRPr="00B14ED8">
        <w:rPr>
          <w:rFonts w:ascii="Times New Roman" w:eastAsia="Times New Roman" w:hAnsi="Times New Roman" w:cs="Times New Roman"/>
          <w:sz w:val="24"/>
          <w:szCs w:val="24"/>
        </w:rPr>
        <w:t>kemudian</w:t>
      </w:r>
      <w:proofErr w:type="spellEnd"/>
      <w:r w:rsidR="001654F7" w:rsidRPr="00B14ED8">
        <w:rPr>
          <w:rFonts w:ascii="Times New Roman" w:eastAsia="Times New Roman" w:hAnsi="Times New Roman" w:cs="Times New Roman"/>
          <w:sz w:val="24"/>
          <w:szCs w:val="24"/>
        </w:rPr>
        <w:t xml:space="preserve"> </w:t>
      </w:r>
      <w:proofErr w:type="spellStart"/>
      <w:r w:rsidR="001654F7" w:rsidRPr="00B14ED8">
        <w:rPr>
          <w:rFonts w:ascii="Times New Roman" w:eastAsia="Times New Roman" w:hAnsi="Times New Roman" w:cs="Times New Roman"/>
          <w:sz w:val="24"/>
          <w:szCs w:val="24"/>
        </w:rPr>
        <w:t>mendorong</w:t>
      </w:r>
      <w:proofErr w:type="spellEnd"/>
      <w:r w:rsidR="001654F7" w:rsidRPr="00B14ED8">
        <w:rPr>
          <w:rFonts w:ascii="Times New Roman" w:eastAsia="Times New Roman" w:hAnsi="Times New Roman" w:cs="Times New Roman"/>
          <w:sz w:val="24"/>
          <w:szCs w:val="24"/>
        </w:rPr>
        <w:t xml:space="preserve"> </w:t>
      </w:r>
      <w:proofErr w:type="spellStart"/>
      <w:r w:rsidR="001654F7" w:rsidRPr="00B14ED8">
        <w:rPr>
          <w:rFonts w:ascii="Times New Roman" w:eastAsia="Times New Roman" w:hAnsi="Times New Roman" w:cs="Times New Roman"/>
          <w:sz w:val="24"/>
          <w:szCs w:val="24"/>
        </w:rPr>
        <w:t>potensi</w:t>
      </w:r>
      <w:proofErr w:type="spellEnd"/>
      <w:r w:rsidR="001654F7" w:rsidRPr="00B14ED8">
        <w:rPr>
          <w:rFonts w:ascii="Times New Roman" w:eastAsia="Times New Roman" w:hAnsi="Times New Roman" w:cs="Times New Roman"/>
          <w:sz w:val="24"/>
          <w:szCs w:val="24"/>
        </w:rPr>
        <w:t xml:space="preserve"> </w:t>
      </w:r>
      <w:proofErr w:type="spellStart"/>
      <w:r w:rsidR="001654F7" w:rsidRPr="00B14ED8">
        <w:rPr>
          <w:rFonts w:ascii="Times New Roman" w:eastAsia="Times New Roman" w:hAnsi="Times New Roman" w:cs="Times New Roman"/>
          <w:sz w:val="24"/>
          <w:szCs w:val="24"/>
        </w:rPr>
        <w:t>operasional</w:t>
      </w:r>
      <w:proofErr w:type="spellEnd"/>
      <w:r w:rsidR="001654F7" w:rsidRPr="00B14ED8">
        <w:rPr>
          <w:rFonts w:ascii="Times New Roman" w:eastAsia="Times New Roman" w:hAnsi="Times New Roman" w:cs="Times New Roman"/>
          <w:sz w:val="24"/>
          <w:szCs w:val="24"/>
        </w:rPr>
        <w:t xml:space="preserve"> </w:t>
      </w:r>
      <w:proofErr w:type="spellStart"/>
      <w:r w:rsidR="001654F7" w:rsidRPr="00B14ED8">
        <w:rPr>
          <w:rFonts w:ascii="Times New Roman" w:eastAsia="Times New Roman" w:hAnsi="Times New Roman" w:cs="Times New Roman"/>
          <w:sz w:val="24"/>
          <w:szCs w:val="24"/>
        </w:rPr>
        <w:t>usaha</w:t>
      </w:r>
      <w:proofErr w:type="spellEnd"/>
      <w:r w:rsidR="001654F7" w:rsidRPr="00B14ED8">
        <w:rPr>
          <w:rFonts w:ascii="Times New Roman" w:eastAsia="Times New Roman" w:hAnsi="Times New Roman" w:cs="Times New Roman"/>
          <w:sz w:val="24"/>
          <w:szCs w:val="24"/>
        </w:rPr>
        <w:t xml:space="preserve"> </w:t>
      </w:r>
      <w:proofErr w:type="spellStart"/>
      <w:r w:rsidR="001654F7" w:rsidRPr="00B14ED8">
        <w:rPr>
          <w:rFonts w:ascii="Times New Roman" w:eastAsia="Times New Roman" w:hAnsi="Times New Roman" w:cs="Times New Roman"/>
          <w:sz w:val="24"/>
          <w:szCs w:val="24"/>
        </w:rPr>
        <w:t>menjadi</w:t>
      </w:r>
      <w:proofErr w:type="spellEnd"/>
      <w:r w:rsidR="001654F7" w:rsidRPr="00B14ED8">
        <w:rPr>
          <w:rFonts w:ascii="Times New Roman" w:eastAsia="Times New Roman" w:hAnsi="Times New Roman" w:cs="Times New Roman"/>
          <w:sz w:val="24"/>
          <w:szCs w:val="24"/>
        </w:rPr>
        <w:t xml:space="preserve"> </w:t>
      </w:r>
      <w:proofErr w:type="spellStart"/>
      <w:r w:rsidR="001654F7" w:rsidRPr="00B14ED8">
        <w:rPr>
          <w:rFonts w:ascii="Times New Roman" w:eastAsia="Times New Roman" w:hAnsi="Times New Roman" w:cs="Times New Roman"/>
          <w:sz w:val="24"/>
          <w:szCs w:val="24"/>
        </w:rPr>
        <w:t>lebih</w:t>
      </w:r>
      <w:proofErr w:type="spellEnd"/>
      <w:r w:rsidR="001654F7" w:rsidRPr="00B14ED8">
        <w:rPr>
          <w:rFonts w:ascii="Times New Roman" w:eastAsia="Times New Roman" w:hAnsi="Times New Roman" w:cs="Times New Roman"/>
          <w:sz w:val="24"/>
          <w:szCs w:val="24"/>
        </w:rPr>
        <w:t xml:space="preserve"> </w:t>
      </w:r>
      <w:proofErr w:type="spellStart"/>
      <w:r w:rsidR="001654F7" w:rsidRPr="00B14ED8">
        <w:rPr>
          <w:rFonts w:ascii="Times New Roman" w:eastAsia="Times New Roman" w:hAnsi="Times New Roman" w:cs="Times New Roman"/>
          <w:sz w:val="24"/>
          <w:szCs w:val="24"/>
        </w:rPr>
        <w:t>baik</w:t>
      </w:r>
      <w:proofErr w:type="spellEnd"/>
      <w:r w:rsidR="001654F7" w:rsidRPr="00B14ED8">
        <w:rPr>
          <w:rFonts w:ascii="Times New Roman" w:eastAsia="Times New Roman" w:hAnsi="Times New Roman" w:cs="Times New Roman"/>
          <w:sz w:val="24"/>
          <w:szCs w:val="24"/>
        </w:rPr>
        <w:t xml:space="preserve"> </w:t>
      </w:r>
      <w:proofErr w:type="spellStart"/>
      <w:r w:rsidR="001654F7" w:rsidRPr="00B14ED8">
        <w:rPr>
          <w:rFonts w:ascii="Times New Roman" w:eastAsia="Times New Roman" w:hAnsi="Times New Roman" w:cs="Times New Roman"/>
          <w:sz w:val="24"/>
          <w:szCs w:val="24"/>
        </w:rPr>
        <w:t>sehingga</w:t>
      </w:r>
      <w:proofErr w:type="spellEnd"/>
      <w:r w:rsidR="001654F7" w:rsidRPr="00B14ED8">
        <w:rPr>
          <w:rFonts w:ascii="Times New Roman" w:eastAsia="Times New Roman" w:hAnsi="Times New Roman" w:cs="Times New Roman"/>
          <w:sz w:val="24"/>
          <w:szCs w:val="24"/>
        </w:rPr>
        <w:t xml:space="preserve"> </w:t>
      </w:r>
      <w:proofErr w:type="spellStart"/>
      <w:r w:rsidR="001654F7" w:rsidRPr="00B14ED8">
        <w:rPr>
          <w:rFonts w:ascii="Times New Roman" w:eastAsia="Times New Roman" w:hAnsi="Times New Roman" w:cs="Times New Roman"/>
          <w:sz w:val="24"/>
          <w:szCs w:val="24"/>
        </w:rPr>
        <w:t>nilai</w:t>
      </w:r>
      <w:proofErr w:type="spellEnd"/>
      <w:r w:rsidR="001654F7" w:rsidRPr="00B14ED8">
        <w:rPr>
          <w:rFonts w:ascii="Times New Roman" w:eastAsia="Times New Roman" w:hAnsi="Times New Roman" w:cs="Times New Roman"/>
          <w:sz w:val="24"/>
          <w:szCs w:val="24"/>
        </w:rPr>
        <w:t xml:space="preserve"> profit yang </w:t>
      </w:r>
      <w:proofErr w:type="spellStart"/>
      <w:r w:rsidR="001654F7" w:rsidRPr="00B14ED8">
        <w:rPr>
          <w:rFonts w:ascii="Times New Roman" w:eastAsia="Times New Roman" w:hAnsi="Times New Roman" w:cs="Times New Roman"/>
          <w:sz w:val="24"/>
          <w:szCs w:val="24"/>
        </w:rPr>
        <w:t>diperoleh</w:t>
      </w:r>
      <w:proofErr w:type="spellEnd"/>
      <w:r w:rsidR="001654F7" w:rsidRPr="00B14ED8">
        <w:rPr>
          <w:rFonts w:ascii="Times New Roman" w:eastAsia="Times New Roman" w:hAnsi="Times New Roman" w:cs="Times New Roman"/>
          <w:sz w:val="24"/>
          <w:szCs w:val="24"/>
        </w:rPr>
        <w:t xml:space="preserve"> </w:t>
      </w:r>
      <w:proofErr w:type="spellStart"/>
      <w:r w:rsidR="001654F7" w:rsidRPr="00B14ED8">
        <w:rPr>
          <w:rFonts w:ascii="Times New Roman" w:eastAsia="Times New Roman" w:hAnsi="Times New Roman" w:cs="Times New Roman"/>
          <w:sz w:val="24"/>
          <w:szCs w:val="24"/>
        </w:rPr>
        <w:t>dapat</w:t>
      </w:r>
      <w:proofErr w:type="spellEnd"/>
      <w:r w:rsidR="001654F7" w:rsidRPr="00B14ED8">
        <w:rPr>
          <w:rFonts w:ascii="Times New Roman" w:eastAsia="Times New Roman" w:hAnsi="Times New Roman" w:cs="Times New Roman"/>
          <w:sz w:val="24"/>
          <w:szCs w:val="24"/>
        </w:rPr>
        <w:t xml:space="preserve"> </w:t>
      </w:r>
      <w:proofErr w:type="spellStart"/>
      <w:r w:rsidR="001654F7" w:rsidRPr="00B14ED8">
        <w:rPr>
          <w:rFonts w:ascii="Times New Roman" w:eastAsia="Times New Roman" w:hAnsi="Times New Roman" w:cs="Times New Roman"/>
          <w:sz w:val="24"/>
          <w:szCs w:val="24"/>
        </w:rPr>
        <w:t>ditingkatkan</w:t>
      </w:r>
      <w:proofErr w:type="spellEnd"/>
      <w:r w:rsidR="001654F7" w:rsidRPr="00B14ED8">
        <w:rPr>
          <w:rFonts w:ascii="Times New Roman" w:eastAsia="Times New Roman" w:hAnsi="Times New Roman" w:cs="Times New Roman"/>
          <w:sz w:val="24"/>
          <w:szCs w:val="24"/>
        </w:rPr>
        <w:t xml:space="preserve">. </w:t>
      </w:r>
      <w:proofErr w:type="spellStart"/>
      <w:r w:rsidR="001654F7" w:rsidRPr="00B14ED8">
        <w:rPr>
          <w:rFonts w:ascii="Times New Roman" w:eastAsia="Times New Roman" w:hAnsi="Times New Roman" w:cs="Times New Roman"/>
          <w:sz w:val="24"/>
          <w:szCs w:val="24"/>
        </w:rPr>
        <w:t>Peningkatan</w:t>
      </w:r>
      <w:proofErr w:type="spellEnd"/>
      <w:r w:rsidR="001654F7" w:rsidRPr="00B14ED8">
        <w:rPr>
          <w:rFonts w:ascii="Times New Roman" w:eastAsia="Times New Roman" w:hAnsi="Times New Roman" w:cs="Times New Roman"/>
          <w:sz w:val="24"/>
          <w:szCs w:val="24"/>
        </w:rPr>
        <w:t xml:space="preserve"> </w:t>
      </w:r>
      <w:proofErr w:type="spellStart"/>
      <w:r w:rsidR="001654F7" w:rsidRPr="00B14ED8">
        <w:rPr>
          <w:rFonts w:ascii="Times New Roman" w:eastAsia="Times New Roman" w:hAnsi="Times New Roman" w:cs="Times New Roman"/>
          <w:sz w:val="24"/>
          <w:szCs w:val="24"/>
        </w:rPr>
        <w:t>nilai</w:t>
      </w:r>
      <w:proofErr w:type="spellEnd"/>
      <w:r w:rsidR="001654F7" w:rsidRPr="00B14ED8">
        <w:rPr>
          <w:rFonts w:ascii="Times New Roman" w:eastAsia="Times New Roman" w:hAnsi="Times New Roman" w:cs="Times New Roman"/>
          <w:sz w:val="24"/>
          <w:szCs w:val="24"/>
        </w:rPr>
        <w:t xml:space="preserve"> profit </w:t>
      </w:r>
      <w:proofErr w:type="spellStart"/>
      <w:r w:rsidR="001654F7" w:rsidRPr="00B14ED8">
        <w:rPr>
          <w:rFonts w:ascii="Times New Roman" w:eastAsia="Times New Roman" w:hAnsi="Times New Roman" w:cs="Times New Roman"/>
          <w:sz w:val="24"/>
          <w:szCs w:val="24"/>
        </w:rPr>
        <w:t>usaha</w:t>
      </w:r>
      <w:proofErr w:type="spellEnd"/>
      <w:r w:rsidR="00D15FFB" w:rsidRPr="00B14ED8">
        <w:rPr>
          <w:rFonts w:ascii="Times New Roman" w:eastAsia="Times New Roman" w:hAnsi="Times New Roman" w:cs="Times New Roman"/>
          <w:sz w:val="24"/>
          <w:szCs w:val="24"/>
        </w:rPr>
        <w:t xml:space="preserve"> </w:t>
      </w:r>
      <w:proofErr w:type="spellStart"/>
      <w:r w:rsidR="00D15FFB" w:rsidRPr="00B14ED8">
        <w:rPr>
          <w:rFonts w:ascii="Times New Roman" w:eastAsia="Times New Roman" w:hAnsi="Times New Roman" w:cs="Times New Roman"/>
          <w:sz w:val="24"/>
          <w:szCs w:val="24"/>
        </w:rPr>
        <w:t>tersebut</w:t>
      </w:r>
      <w:proofErr w:type="spellEnd"/>
      <w:r w:rsidR="00D15FFB" w:rsidRPr="00B14ED8">
        <w:rPr>
          <w:rFonts w:ascii="Times New Roman" w:eastAsia="Times New Roman" w:hAnsi="Times New Roman" w:cs="Times New Roman"/>
          <w:sz w:val="24"/>
          <w:szCs w:val="24"/>
        </w:rPr>
        <w:t xml:space="preserve"> </w:t>
      </w:r>
      <w:proofErr w:type="spellStart"/>
      <w:r w:rsidR="00D15FFB" w:rsidRPr="00B14ED8">
        <w:rPr>
          <w:rFonts w:ascii="Times New Roman" w:eastAsia="Times New Roman" w:hAnsi="Times New Roman" w:cs="Times New Roman"/>
          <w:sz w:val="24"/>
          <w:szCs w:val="24"/>
        </w:rPr>
        <w:t>kemudian</w:t>
      </w:r>
      <w:proofErr w:type="spellEnd"/>
      <w:r w:rsidR="00D15FFB" w:rsidRPr="00B14ED8">
        <w:rPr>
          <w:rFonts w:ascii="Times New Roman" w:eastAsia="Times New Roman" w:hAnsi="Times New Roman" w:cs="Times New Roman"/>
          <w:sz w:val="24"/>
          <w:szCs w:val="24"/>
        </w:rPr>
        <w:t xml:space="preserve"> </w:t>
      </w:r>
      <w:proofErr w:type="spellStart"/>
      <w:r w:rsidR="00D15FFB" w:rsidRPr="00B14ED8">
        <w:rPr>
          <w:rFonts w:ascii="Times New Roman" w:eastAsia="Times New Roman" w:hAnsi="Times New Roman" w:cs="Times New Roman"/>
          <w:sz w:val="24"/>
          <w:szCs w:val="24"/>
        </w:rPr>
        <w:t>berdampak</w:t>
      </w:r>
      <w:proofErr w:type="spellEnd"/>
      <w:r w:rsidR="00D15FFB" w:rsidRPr="00B14ED8">
        <w:rPr>
          <w:rFonts w:ascii="Times New Roman" w:eastAsia="Times New Roman" w:hAnsi="Times New Roman" w:cs="Times New Roman"/>
          <w:sz w:val="24"/>
          <w:szCs w:val="24"/>
        </w:rPr>
        <w:t xml:space="preserve"> </w:t>
      </w:r>
      <w:proofErr w:type="spellStart"/>
      <w:r w:rsidR="00D15FFB" w:rsidRPr="00B14ED8">
        <w:rPr>
          <w:rFonts w:ascii="Times New Roman" w:eastAsia="Times New Roman" w:hAnsi="Times New Roman" w:cs="Times New Roman"/>
          <w:sz w:val="24"/>
          <w:szCs w:val="24"/>
        </w:rPr>
        <w:t>terhadap</w:t>
      </w:r>
      <w:proofErr w:type="spellEnd"/>
      <w:r w:rsidR="00D15FFB" w:rsidRPr="00B14ED8">
        <w:rPr>
          <w:rFonts w:ascii="Times New Roman" w:eastAsia="Times New Roman" w:hAnsi="Times New Roman" w:cs="Times New Roman"/>
          <w:sz w:val="24"/>
          <w:szCs w:val="24"/>
        </w:rPr>
        <w:t xml:space="preserve"> </w:t>
      </w:r>
      <w:proofErr w:type="spellStart"/>
      <w:r w:rsidR="00D15FFB" w:rsidRPr="00B14ED8">
        <w:rPr>
          <w:rFonts w:ascii="Times New Roman" w:eastAsia="Times New Roman" w:hAnsi="Times New Roman" w:cs="Times New Roman"/>
          <w:sz w:val="24"/>
          <w:szCs w:val="24"/>
        </w:rPr>
        <w:t>peningkatan</w:t>
      </w:r>
      <w:proofErr w:type="spellEnd"/>
      <w:r w:rsidR="00D15FFB" w:rsidRPr="00B14ED8">
        <w:rPr>
          <w:rFonts w:ascii="Times New Roman" w:eastAsia="Times New Roman" w:hAnsi="Times New Roman" w:cs="Times New Roman"/>
          <w:sz w:val="24"/>
          <w:szCs w:val="24"/>
        </w:rPr>
        <w:t xml:space="preserve"> </w:t>
      </w:r>
      <w:proofErr w:type="spellStart"/>
      <w:r w:rsidR="00D15FFB" w:rsidRPr="00B14ED8">
        <w:rPr>
          <w:rFonts w:ascii="Times New Roman" w:eastAsia="Times New Roman" w:hAnsi="Times New Roman" w:cs="Times New Roman"/>
          <w:sz w:val="24"/>
          <w:szCs w:val="24"/>
        </w:rPr>
        <w:t>kinerja</w:t>
      </w:r>
      <w:proofErr w:type="spellEnd"/>
      <w:r w:rsidR="00D15FFB" w:rsidRPr="00B14ED8">
        <w:rPr>
          <w:rFonts w:ascii="Times New Roman" w:eastAsia="Times New Roman" w:hAnsi="Times New Roman" w:cs="Times New Roman"/>
          <w:sz w:val="24"/>
          <w:szCs w:val="24"/>
        </w:rPr>
        <w:t xml:space="preserve"> </w:t>
      </w:r>
      <w:proofErr w:type="spellStart"/>
      <w:r w:rsidR="00D15FFB" w:rsidRPr="00B14ED8">
        <w:rPr>
          <w:rFonts w:ascii="Times New Roman" w:eastAsia="Times New Roman" w:hAnsi="Times New Roman" w:cs="Times New Roman"/>
          <w:sz w:val="24"/>
          <w:szCs w:val="24"/>
        </w:rPr>
        <w:t>keuangan</w:t>
      </w:r>
      <w:proofErr w:type="spellEnd"/>
      <w:r w:rsidR="00D15FFB" w:rsidRPr="00B14ED8">
        <w:rPr>
          <w:rFonts w:ascii="Times New Roman" w:eastAsia="Times New Roman" w:hAnsi="Times New Roman" w:cs="Times New Roman"/>
          <w:sz w:val="24"/>
          <w:szCs w:val="24"/>
        </w:rPr>
        <w:t xml:space="preserve"> </w:t>
      </w:r>
      <w:proofErr w:type="spellStart"/>
      <w:r w:rsidR="00D15FFB" w:rsidRPr="00B14ED8">
        <w:rPr>
          <w:rFonts w:ascii="Times New Roman" w:eastAsia="Times New Roman" w:hAnsi="Times New Roman" w:cs="Times New Roman"/>
          <w:sz w:val="24"/>
          <w:szCs w:val="24"/>
        </w:rPr>
        <w:t>secara</w:t>
      </w:r>
      <w:proofErr w:type="spellEnd"/>
      <w:r w:rsidR="00D15FFB" w:rsidRPr="00B14ED8">
        <w:rPr>
          <w:rFonts w:ascii="Times New Roman" w:eastAsia="Times New Roman" w:hAnsi="Times New Roman" w:cs="Times New Roman"/>
          <w:sz w:val="24"/>
          <w:szCs w:val="24"/>
        </w:rPr>
        <w:t xml:space="preserve"> </w:t>
      </w:r>
      <w:proofErr w:type="spellStart"/>
      <w:r w:rsidR="00D15FFB" w:rsidRPr="00B14ED8">
        <w:rPr>
          <w:rFonts w:ascii="Times New Roman" w:eastAsia="Times New Roman" w:hAnsi="Times New Roman" w:cs="Times New Roman"/>
          <w:sz w:val="24"/>
          <w:szCs w:val="24"/>
        </w:rPr>
        <w:t>berkelanjutan</w:t>
      </w:r>
      <w:proofErr w:type="spellEnd"/>
      <w:r w:rsidR="00BB559C" w:rsidRPr="00B14ED8">
        <w:rPr>
          <w:rFonts w:ascii="Times New Roman" w:eastAsia="Times New Roman" w:hAnsi="Times New Roman" w:cs="Times New Roman"/>
          <w:sz w:val="24"/>
          <w:szCs w:val="24"/>
        </w:rPr>
        <w:t xml:space="preserve">. </w:t>
      </w:r>
      <w:r w:rsidR="00186143" w:rsidRPr="00B14ED8">
        <w:rPr>
          <w:rFonts w:ascii="Times New Roman" w:eastAsia="Times New Roman" w:hAnsi="Times New Roman" w:cs="Times New Roman"/>
          <w:sz w:val="24"/>
          <w:szCs w:val="24"/>
        </w:rPr>
        <w:t xml:space="preserve">Hasil </w:t>
      </w:r>
      <w:proofErr w:type="spellStart"/>
      <w:r w:rsidR="00186143" w:rsidRPr="00B14ED8">
        <w:rPr>
          <w:rFonts w:ascii="Times New Roman" w:eastAsia="Times New Roman" w:hAnsi="Times New Roman" w:cs="Times New Roman"/>
          <w:sz w:val="24"/>
          <w:szCs w:val="24"/>
        </w:rPr>
        <w:t>analisis</w:t>
      </w:r>
      <w:proofErr w:type="spellEnd"/>
      <w:r w:rsidR="00186143" w:rsidRPr="00B14ED8">
        <w:rPr>
          <w:rFonts w:ascii="Times New Roman" w:eastAsia="Times New Roman" w:hAnsi="Times New Roman" w:cs="Times New Roman"/>
          <w:sz w:val="24"/>
          <w:szCs w:val="24"/>
        </w:rPr>
        <w:t xml:space="preserve"> </w:t>
      </w:r>
      <w:proofErr w:type="spellStart"/>
      <w:r w:rsidR="00186143" w:rsidRPr="00B14ED8">
        <w:rPr>
          <w:rFonts w:ascii="Times New Roman" w:eastAsia="Times New Roman" w:hAnsi="Times New Roman" w:cs="Times New Roman"/>
          <w:sz w:val="24"/>
          <w:szCs w:val="24"/>
        </w:rPr>
        <w:t>ini</w:t>
      </w:r>
      <w:proofErr w:type="spellEnd"/>
      <w:r w:rsidR="00B1174A" w:rsidRPr="00B14ED8">
        <w:rPr>
          <w:rFonts w:ascii="Times New Roman" w:eastAsia="Times New Roman" w:hAnsi="Times New Roman" w:cs="Times New Roman"/>
          <w:sz w:val="24"/>
          <w:szCs w:val="24"/>
        </w:rPr>
        <w:t xml:space="preserve"> </w:t>
      </w:r>
      <w:proofErr w:type="spellStart"/>
      <w:r w:rsidR="00B1174A" w:rsidRPr="00B14ED8">
        <w:rPr>
          <w:rFonts w:ascii="Times New Roman" w:eastAsia="Times New Roman" w:hAnsi="Times New Roman" w:cs="Times New Roman"/>
          <w:sz w:val="24"/>
          <w:szCs w:val="24"/>
        </w:rPr>
        <w:t>didukung</w:t>
      </w:r>
      <w:proofErr w:type="spellEnd"/>
      <w:r w:rsidR="00B1174A" w:rsidRPr="00B14ED8">
        <w:rPr>
          <w:rFonts w:ascii="Times New Roman" w:eastAsia="Times New Roman" w:hAnsi="Times New Roman" w:cs="Times New Roman"/>
          <w:sz w:val="24"/>
          <w:szCs w:val="24"/>
        </w:rPr>
        <w:t xml:space="preserve"> oleh data </w:t>
      </w:r>
      <w:proofErr w:type="spellStart"/>
      <w:r w:rsidR="00B1174A" w:rsidRPr="00B14ED8">
        <w:rPr>
          <w:rFonts w:ascii="Times New Roman" w:eastAsia="Times New Roman" w:hAnsi="Times New Roman" w:cs="Times New Roman"/>
          <w:sz w:val="24"/>
          <w:szCs w:val="24"/>
        </w:rPr>
        <w:t>investasi</w:t>
      </w:r>
      <w:proofErr w:type="spellEnd"/>
      <w:r w:rsidR="00B1174A" w:rsidRPr="00B14ED8">
        <w:rPr>
          <w:rFonts w:ascii="Times New Roman" w:eastAsia="Times New Roman" w:hAnsi="Times New Roman" w:cs="Times New Roman"/>
          <w:sz w:val="24"/>
          <w:szCs w:val="24"/>
        </w:rPr>
        <w:t xml:space="preserve"> </w:t>
      </w:r>
      <w:proofErr w:type="spellStart"/>
      <w:r w:rsidR="00B1174A" w:rsidRPr="00B14ED8">
        <w:rPr>
          <w:rFonts w:ascii="Times New Roman" w:eastAsia="Times New Roman" w:hAnsi="Times New Roman" w:cs="Times New Roman"/>
          <w:sz w:val="24"/>
          <w:szCs w:val="24"/>
        </w:rPr>
        <w:t>pembiayaan</w:t>
      </w:r>
      <w:proofErr w:type="spellEnd"/>
      <w:r w:rsidR="00B1174A" w:rsidRPr="00B14ED8">
        <w:rPr>
          <w:rFonts w:ascii="Times New Roman" w:eastAsia="Times New Roman" w:hAnsi="Times New Roman" w:cs="Times New Roman"/>
          <w:sz w:val="24"/>
          <w:szCs w:val="24"/>
        </w:rPr>
        <w:t xml:space="preserve"> </w:t>
      </w:r>
      <w:proofErr w:type="spellStart"/>
      <w:r w:rsidR="00B1174A" w:rsidRPr="00B14ED8">
        <w:rPr>
          <w:rFonts w:ascii="Times New Roman" w:eastAsia="Times New Roman" w:hAnsi="Times New Roman" w:cs="Times New Roman"/>
          <w:i/>
          <w:iCs/>
          <w:sz w:val="24"/>
          <w:szCs w:val="24"/>
        </w:rPr>
        <w:t>musyarakah</w:t>
      </w:r>
      <w:proofErr w:type="spellEnd"/>
      <w:r w:rsidR="00B1174A" w:rsidRPr="00B14ED8">
        <w:rPr>
          <w:rFonts w:ascii="Times New Roman" w:eastAsia="Times New Roman" w:hAnsi="Times New Roman" w:cs="Times New Roman"/>
          <w:i/>
          <w:iCs/>
          <w:sz w:val="24"/>
          <w:szCs w:val="24"/>
        </w:rPr>
        <w:t xml:space="preserve"> </w:t>
      </w:r>
      <w:r w:rsidR="00B1174A" w:rsidRPr="00B14ED8">
        <w:rPr>
          <w:rFonts w:ascii="Times New Roman" w:eastAsia="Times New Roman" w:hAnsi="Times New Roman" w:cs="Times New Roman"/>
          <w:sz w:val="24"/>
          <w:szCs w:val="24"/>
        </w:rPr>
        <w:t xml:space="preserve">yang naik </w:t>
      </w:r>
      <w:proofErr w:type="spellStart"/>
      <w:r w:rsidR="00B1174A" w:rsidRPr="00B14ED8">
        <w:rPr>
          <w:rFonts w:ascii="Times New Roman" w:eastAsia="Times New Roman" w:hAnsi="Times New Roman" w:cs="Times New Roman"/>
          <w:sz w:val="24"/>
          <w:szCs w:val="24"/>
        </w:rPr>
        <w:t>selama</w:t>
      </w:r>
      <w:proofErr w:type="spellEnd"/>
      <w:r w:rsidR="00B1174A" w:rsidRPr="00B14ED8">
        <w:rPr>
          <w:rFonts w:ascii="Times New Roman" w:eastAsia="Times New Roman" w:hAnsi="Times New Roman" w:cs="Times New Roman"/>
          <w:sz w:val="24"/>
          <w:szCs w:val="24"/>
        </w:rPr>
        <w:t xml:space="preserve"> 6 </w:t>
      </w:r>
      <w:proofErr w:type="spellStart"/>
      <w:r w:rsidR="00B1174A" w:rsidRPr="00B14ED8">
        <w:rPr>
          <w:rFonts w:ascii="Times New Roman" w:eastAsia="Times New Roman" w:hAnsi="Times New Roman" w:cs="Times New Roman"/>
          <w:sz w:val="24"/>
          <w:szCs w:val="24"/>
        </w:rPr>
        <w:t>tahun</w:t>
      </w:r>
      <w:proofErr w:type="spellEnd"/>
      <w:r w:rsidR="00B1174A" w:rsidRPr="00B14ED8">
        <w:rPr>
          <w:rFonts w:ascii="Times New Roman" w:eastAsia="Times New Roman" w:hAnsi="Times New Roman" w:cs="Times New Roman"/>
          <w:sz w:val="24"/>
          <w:szCs w:val="24"/>
        </w:rPr>
        <w:t xml:space="preserve"> </w:t>
      </w:r>
      <w:proofErr w:type="spellStart"/>
      <w:r w:rsidR="00B1174A" w:rsidRPr="00B14ED8">
        <w:rPr>
          <w:rFonts w:ascii="Times New Roman" w:eastAsia="Times New Roman" w:hAnsi="Times New Roman" w:cs="Times New Roman"/>
          <w:sz w:val="24"/>
          <w:szCs w:val="24"/>
        </w:rPr>
        <w:t>terakhir</w:t>
      </w:r>
      <w:proofErr w:type="spellEnd"/>
      <w:r w:rsidR="00121C87" w:rsidRPr="00B14ED8">
        <w:rPr>
          <w:rFonts w:ascii="Times New Roman" w:eastAsia="Times New Roman" w:hAnsi="Times New Roman" w:cs="Times New Roman"/>
          <w:sz w:val="24"/>
          <w:szCs w:val="24"/>
        </w:rPr>
        <w:t xml:space="preserve"> yang </w:t>
      </w:r>
      <w:proofErr w:type="spellStart"/>
      <w:r w:rsidR="00121C87" w:rsidRPr="00B14ED8">
        <w:rPr>
          <w:rFonts w:ascii="Times New Roman" w:eastAsia="Times New Roman" w:hAnsi="Times New Roman" w:cs="Times New Roman"/>
          <w:sz w:val="24"/>
          <w:szCs w:val="24"/>
        </w:rPr>
        <w:t>dari</w:t>
      </w:r>
      <w:proofErr w:type="spellEnd"/>
      <w:r w:rsidR="00121C87" w:rsidRPr="00B14ED8">
        <w:rPr>
          <w:rFonts w:ascii="Times New Roman" w:eastAsia="Times New Roman" w:hAnsi="Times New Roman" w:cs="Times New Roman"/>
          <w:sz w:val="24"/>
          <w:szCs w:val="24"/>
        </w:rPr>
        <w:t xml:space="preserve"> </w:t>
      </w:r>
      <w:proofErr w:type="spellStart"/>
      <w:r w:rsidR="00121C87" w:rsidRPr="00B14ED8">
        <w:rPr>
          <w:rFonts w:ascii="Times New Roman" w:eastAsia="Times New Roman" w:hAnsi="Times New Roman" w:cs="Times New Roman"/>
          <w:sz w:val="24"/>
          <w:szCs w:val="24"/>
        </w:rPr>
        <w:t>analisis</w:t>
      </w:r>
      <w:proofErr w:type="spellEnd"/>
      <w:r w:rsidR="00121C87" w:rsidRPr="00B14ED8">
        <w:rPr>
          <w:rFonts w:ascii="Times New Roman" w:eastAsia="Times New Roman" w:hAnsi="Times New Roman" w:cs="Times New Roman"/>
          <w:sz w:val="24"/>
          <w:szCs w:val="24"/>
        </w:rPr>
        <w:t xml:space="preserve"> </w:t>
      </w:r>
      <w:proofErr w:type="spellStart"/>
      <w:r w:rsidR="00121C87" w:rsidRPr="00B14ED8">
        <w:rPr>
          <w:rFonts w:ascii="Times New Roman" w:eastAsia="Times New Roman" w:hAnsi="Times New Roman" w:cs="Times New Roman"/>
          <w:sz w:val="24"/>
          <w:szCs w:val="24"/>
        </w:rPr>
        <w:t>ini</w:t>
      </w:r>
      <w:proofErr w:type="spellEnd"/>
      <w:r w:rsidR="00121C87" w:rsidRPr="00B14ED8">
        <w:rPr>
          <w:rFonts w:ascii="Times New Roman" w:eastAsia="Times New Roman" w:hAnsi="Times New Roman" w:cs="Times New Roman"/>
          <w:sz w:val="24"/>
          <w:szCs w:val="24"/>
        </w:rPr>
        <w:t xml:space="preserve"> </w:t>
      </w:r>
      <w:proofErr w:type="spellStart"/>
      <w:r w:rsidR="00121C87" w:rsidRPr="00B14ED8">
        <w:rPr>
          <w:rFonts w:ascii="Times New Roman" w:eastAsia="Times New Roman" w:hAnsi="Times New Roman" w:cs="Times New Roman"/>
          <w:sz w:val="24"/>
          <w:szCs w:val="24"/>
        </w:rPr>
        <w:t>diketahui</w:t>
      </w:r>
      <w:proofErr w:type="spellEnd"/>
      <w:r w:rsidR="00121C87" w:rsidRPr="00B14ED8">
        <w:rPr>
          <w:rFonts w:ascii="Times New Roman" w:eastAsia="Times New Roman" w:hAnsi="Times New Roman" w:cs="Times New Roman"/>
          <w:sz w:val="24"/>
          <w:szCs w:val="24"/>
        </w:rPr>
        <w:t xml:space="preserve"> </w:t>
      </w:r>
      <w:proofErr w:type="spellStart"/>
      <w:r w:rsidR="00121C87" w:rsidRPr="00B14ED8">
        <w:rPr>
          <w:rFonts w:ascii="Times New Roman" w:eastAsia="Times New Roman" w:hAnsi="Times New Roman" w:cs="Times New Roman"/>
          <w:sz w:val="24"/>
          <w:szCs w:val="24"/>
        </w:rPr>
        <w:t>bahwa</w:t>
      </w:r>
      <w:proofErr w:type="spellEnd"/>
      <w:r w:rsidR="00121C87" w:rsidRPr="00B14ED8">
        <w:rPr>
          <w:rFonts w:ascii="Times New Roman" w:eastAsia="Times New Roman" w:hAnsi="Times New Roman" w:cs="Times New Roman"/>
          <w:sz w:val="24"/>
          <w:szCs w:val="24"/>
        </w:rPr>
        <w:t xml:space="preserve"> </w:t>
      </w:r>
      <w:proofErr w:type="spellStart"/>
      <w:r w:rsidR="00121C87" w:rsidRPr="00B14ED8">
        <w:rPr>
          <w:rFonts w:ascii="Times New Roman" w:eastAsia="Times New Roman" w:hAnsi="Times New Roman" w:cs="Times New Roman"/>
          <w:sz w:val="24"/>
          <w:szCs w:val="24"/>
        </w:rPr>
        <w:t>kenaikan</w:t>
      </w:r>
      <w:proofErr w:type="spellEnd"/>
      <w:r w:rsidR="00121C87" w:rsidRPr="00B14ED8">
        <w:rPr>
          <w:rFonts w:ascii="Times New Roman" w:eastAsia="Times New Roman" w:hAnsi="Times New Roman" w:cs="Times New Roman"/>
          <w:sz w:val="24"/>
          <w:szCs w:val="24"/>
        </w:rPr>
        <w:t xml:space="preserve"> </w:t>
      </w:r>
      <w:proofErr w:type="spellStart"/>
      <w:r w:rsidR="00121C87" w:rsidRPr="00B14ED8">
        <w:rPr>
          <w:rFonts w:ascii="Times New Roman" w:eastAsia="Times New Roman" w:hAnsi="Times New Roman" w:cs="Times New Roman"/>
          <w:sz w:val="24"/>
          <w:szCs w:val="24"/>
        </w:rPr>
        <w:t>tersebut</w:t>
      </w:r>
      <w:proofErr w:type="spellEnd"/>
      <w:r w:rsidR="00121C87" w:rsidRPr="00B14ED8">
        <w:rPr>
          <w:rFonts w:ascii="Times New Roman" w:eastAsia="Times New Roman" w:hAnsi="Times New Roman" w:cs="Times New Roman"/>
          <w:sz w:val="24"/>
          <w:szCs w:val="24"/>
        </w:rPr>
        <w:t xml:space="preserve"> </w:t>
      </w:r>
      <w:proofErr w:type="spellStart"/>
      <w:r w:rsidR="00121C87" w:rsidRPr="00B14ED8">
        <w:rPr>
          <w:rFonts w:ascii="Times New Roman" w:eastAsia="Times New Roman" w:hAnsi="Times New Roman" w:cs="Times New Roman"/>
          <w:sz w:val="24"/>
          <w:szCs w:val="24"/>
        </w:rPr>
        <w:t>disebabkan</w:t>
      </w:r>
      <w:proofErr w:type="spellEnd"/>
      <w:r w:rsidR="00121C87" w:rsidRPr="00B14ED8">
        <w:rPr>
          <w:rFonts w:ascii="Times New Roman" w:eastAsia="Times New Roman" w:hAnsi="Times New Roman" w:cs="Times New Roman"/>
          <w:sz w:val="24"/>
          <w:szCs w:val="24"/>
        </w:rPr>
        <w:t xml:space="preserve"> </w:t>
      </w:r>
      <w:proofErr w:type="spellStart"/>
      <w:r w:rsidR="00121C87" w:rsidRPr="00B14ED8">
        <w:rPr>
          <w:rFonts w:ascii="Times New Roman" w:eastAsia="Times New Roman" w:hAnsi="Times New Roman" w:cs="Times New Roman"/>
          <w:sz w:val="24"/>
          <w:szCs w:val="24"/>
        </w:rPr>
        <w:t>pembiayaan</w:t>
      </w:r>
      <w:proofErr w:type="spellEnd"/>
      <w:r w:rsidR="00121C87" w:rsidRPr="00B14ED8">
        <w:rPr>
          <w:rFonts w:ascii="Times New Roman" w:eastAsia="Times New Roman" w:hAnsi="Times New Roman" w:cs="Times New Roman"/>
          <w:sz w:val="24"/>
          <w:szCs w:val="24"/>
        </w:rPr>
        <w:t xml:space="preserve"> </w:t>
      </w:r>
      <w:proofErr w:type="spellStart"/>
      <w:r w:rsidR="00121C87" w:rsidRPr="00B14ED8">
        <w:rPr>
          <w:rFonts w:ascii="Times New Roman" w:eastAsia="Times New Roman" w:hAnsi="Times New Roman" w:cs="Times New Roman"/>
          <w:i/>
          <w:iCs/>
          <w:sz w:val="24"/>
          <w:szCs w:val="24"/>
        </w:rPr>
        <w:t>musyarakah</w:t>
      </w:r>
      <w:proofErr w:type="spellEnd"/>
      <w:r w:rsidR="00121C87" w:rsidRPr="00B14ED8">
        <w:rPr>
          <w:rFonts w:ascii="Times New Roman" w:eastAsia="Times New Roman" w:hAnsi="Times New Roman" w:cs="Times New Roman"/>
          <w:i/>
          <w:iCs/>
          <w:sz w:val="24"/>
          <w:szCs w:val="24"/>
        </w:rPr>
        <w:t xml:space="preserve"> </w:t>
      </w:r>
      <w:r w:rsidR="00121C87" w:rsidRPr="00B14ED8">
        <w:rPr>
          <w:rFonts w:ascii="Times New Roman" w:eastAsia="Times New Roman" w:hAnsi="Times New Roman" w:cs="Times New Roman"/>
          <w:sz w:val="24"/>
          <w:szCs w:val="24"/>
        </w:rPr>
        <w:t xml:space="preserve">yang </w:t>
      </w:r>
      <w:proofErr w:type="spellStart"/>
      <w:r w:rsidR="00121C87" w:rsidRPr="00B14ED8">
        <w:rPr>
          <w:rFonts w:ascii="Times New Roman" w:eastAsia="Times New Roman" w:hAnsi="Times New Roman" w:cs="Times New Roman"/>
          <w:sz w:val="24"/>
          <w:szCs w:val="24"/>
        </w:rPr>
        <w:t>terbukti</w:t>
      </w:r>
      <w:proofErr w:type="spellEnd"/>
      <w:r w:rsidR="00121C87" w:rsidRPr="00B14ED8">
        <w:rPr>
          <w:rFonts w:ascii="Times New Roman" w:eastAsia="Times New Roman" w:hAnsi="Times New Roman" w:cs="Times New Roman"/>
          <w:sz w:val="24"/>
          <w:szCs w:val="24"/>
        </w:rPr>
        <w:t xml:space="preserve"> </w:t>
      </w:r>
      <w:proofErr w:type="spellStart"/>
      <w:r w:rsidR="00121C87" w:rsidRPr="00B14ED8">
        <w:rPr>
          <w:rFonts w:ascii="Times New Roman" w:eastAsia="Times New Roman" w:hAnsi="Times New Roman" w:cs="Times New Roman"/>
          <w:sz w:val="24"/>
          <w:szCs w:val="24"/>
        </w:rPr>
        <w:t>produktif</w:t>
      </w:r>
      <w:proofErr w:type="spellEnd"/>
      <w:r w:rsidR="0034662C" w:rsidRPr="00B14ED8">
        <w:rPr>
          <w:rFonts w:ascii="Times New Roman" w:eastAsia="Times New Roman" w:hAnsi="Times New Roman" w:cs="Times New Roman"/>
          <w:sz w:val="24"/>
          <w:szCs w:val="24"/>
        </w:rPr>
        <w:t>.</w:t>
      </w:r>
    </w:p>
    <w:p w14:paraId="6050CDF1" w14:textId="681C1077" w:rsidR="0077085C" w:rsidRPr="00B14ED8" w:rsidRDefault="0077085C" w:rsidP="00B14ED8">
      <w:pPr>
        <w:pStyle w:val="ListParagraph"/>
        <w:numPr>
          <w:ilvl w:val="0"/>
          <w:numId w:val="15"/>
        </w:numPr>
        <w:spacing w:after="0" w:line="360" w:lineRule="auto"/>
        <w:ind w:left="567" w:hanging="567"/>
        <w:jc w:val="both"/>
        <w:rPr>
          <w:rFonts w:ascii="Times New Roman" w:eastAsia="Times New Roman" w:hAnsi="Times New Roman" w:cs="Times New Roman"/>
          <w:b/>
          <w:bCs/>
          <w:sz w:val="24"/>
          <w:szCs w:val="24"/>
        </w:rPr>
      </w:pPr>
      <w:proofErr w:type="spellStart"/>
      <w:r w:rsidRPr="00B14ED8">
        <w:rPr>
          <w:rFonts w:ascii="Times New Roman" w:eastAsia="Times New Roman" w:hAnsi="Times New Roman" w:cs="Times New Roman"/>
          <w:b/>
          <w:bCs/>
          <w:sz w:val="24"/>
          <w:szCs w:val="24"/>
        </w:rPr>
        <w:lastRenderedPageBreak/>
        <w:t>Pengaruh</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Pembiayaan</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i/>
          <w:iCs/>
          <w:sz w:val="24"/>
          <w:szCs w:val="24"/>
        </w:rPr>
        <w:t>Mudharabah</w:t>
      </w:r>
      <w:proofErr w:type="spellEnd"/>
      <w:r w:rsidR="005C6453" w:rsidRPr="00B14ED8">
        <w:rPr>
          <w:rFonts w:ascii="Times New Roman" w:eastAsia="Times New Roman" w:hAnsi="Times New Roman" w:cs="Times New Roman"/>
          <w:b/>
          <w:bCs/>
          <w:i/>
          <w:iCs/>
          <w:sz w:val="24"/>
          <w:szCs w:val="24"/>
        </w:rPr>
        <w:t xml:space="preserve"> </w:t>
      </w:r>
      <w:proofErr w:type="spellStart"/>
      <w:r w:rsidR="005C6453" w:rsidRPr="00B14ED8">
        <w:rPr>
          <w:rFonts w:ascii="Times New Roman" w:eastAsia="Times New Roman" w:hAnsi="Times New Roman" w:cs="Times New Roman"/>
          <w:b/>
          <w:bCs/>
          <w:sz w:val="24"/>
          <w:szCs w:val="24"/>
        </w:rPr>
        <w:t>dengan</w:t>
      </w:r>
      <w:proofErr w:type="spellEnd"/>
      <w:r w:rsidR="005C6453" w:rsidRPr="00B14ED8">
        <w:rPr>
          <w:rFonts w:ascii="Times New Roman" w:eastAsia="Times New Roman" w:hAnsi="Times New Roman" w:cs="Times New Roman"/>
          <w:b/>
          <w:bCs/>
          <w:sz w:val="24"/>
          <w:szCs w:val="24"/>
        </w:rPr>
        <w:t xml:space="preserve"> </w:t>
      </w:r>
      <w:proofErr w:type="spellStart"/>
      <w:r w:rsidR="005C6453" w:rsidRPr="00B14ED8">
        <w:rPr>
          <w:rFonts w:ascii="Times New Roman" w:eastAsia="Times New Roman" w:hAnsi="Times New Roman" w:cs="Times New Roman"/>
          <w:b/>
          <w:bCs/>
          <w:sz w:val="24"/>
          <w:szCs w:val="24"/>
        </w:rPr>
        <w:t>Moderasi</w:t>
      </w:r>
      <w:proofErr w:type="spellEnd"/>
      <w:r w:rsidR="005C6453" w:rsidRPr="00B14ED8">
        <w:rPr>
          <w:rFonts w:ascii="Times New Roman" w:eastAsia="Times New Roman" w:hAnsi="Times New Roman" w:cs="Times New Roman"/>
          <w:b/>
          <w:bCs/>
          <w:sz w:val="24"/>
          <w:szCs w:val="24"/>
        </w:rPr>
        <w:t xml:space="preserve"> </w:t>
      </w:r>
      <w:proofErr w:type="spellStart"/>
      <w:r w:rsidR="005C6453" w:rsidRPr="00B14ED8">
        <w:rPr>
          <w:rFonts w:ascii="Times New Roman" w:eastAsia="Times New Roman" w:hAnsi="Times New Roman" w:cs="Times New Roman"/>
          <w:b/>
          <w:bCs/>
          <w:sz w:val="24"/>
          <w:szCs w:val="24"/>
        </w:rPr>
        <w:t>Manajemen</w:t>
      </w:r>
      <w:proofErr w:type="spellEnd"/>
      <w:r w:rsidR="005C6453" w:rsidRPr="00B14ED8">
        <w:rPr>
          <w:rFonts w:ascii="Times New Roman" w:eastAsia="Times New Roman" w:hAnsi="Times New Roman" w:cs="Times New Roman"/>
          <w:b/>
          <w:bCs/>
          <w:sz w:val="24"/>
          <w:szCs w:val="24"/>
        </w:rPr>
        <w:t xml:space="preserve"> </w:t>
      </w:r>
      <w:proofErr w:type="spellStart"/>
      <w:r w:rsidR="005C6453" w:rsidRPr="00B14ED8">
        <w:rPr>
          <w:rFonts w:ascii="Times New Roman" w:eastAsia="Times New Roman" w:hAnsi="Times New Roman" w:cs="Times New Roman"/>
          <w:b/>
          <w:bCs/>
          <w:sz w:val="24"/>
          <w:szCs w:val="24"/>
        </w:rPr>
        <w:t>Risiko</w:t>
      </w:r>
      <w:proofErr w:type="spellEnd"/>
      <w:r w:rsidRPr="00B14ED8">
        <w:rPr>
          <w:rFonts w:ascii="Times New Roman" w:eastAsia="Times New Roman" w:hAnsi="Times New Roman" w:cs="Times New Roman"/>
          <w:b/>
          <w:bCs/>
          <w:i/>
          <w:iCs/>
          <w:sz w:val="24"/>
          <w:szCs w:val="24"/>
        </w:rPr>
        <w:t xml:space="preserve"> </w:t>
      </w:r>
      <w:proofErr w:type="spellStart"/>
      <w:r w:rsidRPr="00B14ED8">
        <w:rPr>
          <w:rFonts w:ascii="Times New Roman" w:eastAsia="Times New Roman" w:hAnsi="Times New Roman" w:cs="Times New Roman"/>
          <w:b/>
          <w:bCs/>
          <w:sz w:val="24"/>
          <w:szCs w:val="24"/>
        </w:rPr>
        <w:t>terhadap</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Kinerja</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Keuangan</w:t>
      </w:r>
      <w:proofErr w:type="spellEnd"/>
    </w:p>
    <w:p w14:paraId="5B15AE57" w14:textId="59365F3B" w:rsidR="00B35371" w:rsidRPr="00B14ED8" w:rsidRDefault="00294999" w:rsidP="00B14ED8">
      <w:pPr>
        <w:spacing w:after="0" w:line="360" w:lineRule="auto"/>
        <w:ind w:left="567"/>
        <w:jc w:val="both"/>
        <w:rPr>
          <w:rFonts w:ascii="Times New Roman" w:eastAsia="Times New Roman" w:hAnsi="Times New Roman" w:cs="Times New Roman"/>
          <w:sz w:val="24"/>
          <w:szCs w:val="24"/>
        </w:rPr>
      </w:pPr>
      <w:r w:rsidRPr="00B14ED8">
        <w:rPr>
          <w:rFonts w:ascii="Times New Roman" w:eastAsia="Times New Roman" w:hAnsi="Times New Roman" w:cs="Times New Roman"/>
          <w:sz w:val="24"/>
          <w:szCs w:val="24"/>
        </w:rPr>
        <w:t xml:space="preserve">Nilai </w:t>
      </w:r>
      <w:proofErr w:type="spellStart"/>
      <w:r w:rsidRPr="00B14ED8">
        <w:rPr>
          <w:rFonts w:ascii="Times New Roman" w:eastAsia="Times New Roman" w:hAnsi="Times New Roman" w:cs="Times New Roman"/>
          <w:sz w:val="24"/>
          <w:szCs w:val="24"/>
        </w:rPr>
        <w:t>koefisien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pembiayaan</w:t>
      </w:r>
      <w:proofErr w:type="spellEnd"/>
      <w:r w:rsidRPr="00B14ED8">
        <w:rPr>
          <w:rFonts w:ascii="Times New Roman" w:eastAsia="Times New Roman" w:hAnsi="Times New Roman" w:cs="Times New Roman"/>
          <w:sz w:val="24"/>
          <w:szCs w:val="24"/>
        </w:rPr>
        <w:t xml:space="preserve"> </w:t>
      </w:r>
      <w:proofErr w:type="spellStart"/>
      <w:r w:rsidR="001807A2" w:rsidRPr="00B14ED8">
        <w:rPr>
          <w:rFonts w:ascii="Times New Roman" w:eastAsia="Times New Roman" w:hAnsi="Times New Roman" w:cs="Times New Roman"/>
          <w:i/>
          <w:iCs/>
          <w:sz w:val="24"/>
          <w:szCs w:val="24"/>
        </w:rPr>
        <w:t>mudharabah</w:t>
      </w:r>
      <w:proofErr w:type="spellEnd"/>
      <w:r w:rsidR="001807A2" w:rsidRPr="00B14ED8">
        <w:rPr>
          <w:rFonts w:ascii="Times New Roman" w:eastAsia="Times New Roman" w:hAnsi="Times New Roman" w:cs="Times New Roman"/>
          <w:i/>
          <w:iCs/>
          <w:sz w:val="24"/>
          <w:szCs w:val="24"/>
        </w:rPr>
        <w:t xml:space="preserve"> </w:t>
      </w:r>
      <w:proofErr w:type="spellStart"/>
      <w:r w:rsidR="001807A2" w:rsidRPr="00B14ED8">
        <w:rPr>
          <w:rFonts w:ascii="Times New Roman" w:eastAsia="Times New Roman" w:hAnsi="Times New Roman" w:cs="Times New Roman"/>
          <w:sz w:val="24"/>
          <w:szCs w:val="24"/>
        </w:rPr>
        <w:t>dengan</w:t>
      </w:r>
      <w:proofErr w:type="spellEnd"/>
      <w:r w:rsidR="001807A2" w:rsidRPr="00B14ED8">
        <w:rPr>
          <w:rFonts w:ascii="Times New Roman" w:eastAsia="Times New Roman" w:hAnsi="Times New Roman" w:cs="Times New Roman"/>
          <w:sz w:val="24"/>
          <w:szCs w:val="24"/>
        </w:rPr>
        <w:t xml:space="preserve"> </w:t>
      </w:r>
      <w:proofErr w:type="spellStart"/>
      <w:r w:rsidR="004A3B1B" w:rsidRPr="00B14ED8">
        <w:rPr>
          <w:rFonts w:ascii="Times New Roman" w:eastAsia="Times New Roman" w:hAnsi="Times New Roman" w:cs="Times New Roman"/>
          <w:sz w:val="24"/>
          <w:szCs w:val="24"/>
        </w:rPr>
        <w:t>moderasi</w:t>
      </w:r>
      <w:proofErr w:type="spellEnd"/>
      <w:r w:rsidR="004A3B1B" w:rsidRPr="00B14ED8">
        <w:rPr>
          <w:rFonts w:ascii="Times New Roman" w:eastAsia="Times New Roman" w:hAnsi="Times New Roman" w:cs="Times New Roman"/>
          <w:sz w:val="24"/>
          <w:szCs w:val="24"/>
        </w:rPr>
        <w:t xml:space="preserve"> </w:t>
      </w:r>
      <w:proofErr w:type="spellStart"/>
      <w:r w:rsidR="004A3B1B" w:rsidRPr="00B14ED8">
        <w:rPr>
          <w:rFonts w:ascii="Times New Roman" w:eastAsia="Times New Roman" w:hAnsi="Times New Roman" w:cs="Times New Roman"/>
          <w:sz w:val="24"/>
          <w:szCs w:val="24"/>
        </w:rPr>
        <w:t>manajemen</w:t>
      </w:r>
      <w:proofErr w:type="spellEnd"/>
      <w:r w:rsidR="004A3B1B" w:rsidRPr="00B14ED8">
        <w:rPr>
          <w:rFonts w:ascii="Times New Roman" w:eastAsia="Times New Roman" w:hAnsi="Times New Roman" w:cs="Times New Roman"/>
          <w:sz w:val="24"/>
          <w:szCs w:val="24"/>
        </w:rPr>
        <w:t xml:space="preserve"> </w:t>
      </w:r>
      <w:proofErr w:type="spellStart"/>
      <w:r w:rsidR="004A3B1B" w:rsidRPr="00B14ED8">
        <w:rPr>
          <w:rFonts w:ascii="Times New Roman" w:eastAsia="Times New Roman" w:hAnsi="Times New Roman" w:cs="Times New Roman"/>
          <w:sz w:val="24"/>
          <w:szCs w:val="24"/>
        </w:rPr>
        <w:t>risiko</w:t>
      </w:r>
      <w:proofErr w:type="spellEnd"/>
      <w:r w:rsidR="004A3B1B"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sebesar</w:t>
      </w:r>
      <w:proofErr w:type="spellEnd"/>
      <w:r w:rsidRPr="00B14ED8">
        <w:rPr>
          <w:rFonts w:ascii="Times New Roman" w:eastAsia="Times New Roman" w:hAnsi="Times New Roman" w:cs="Times New Roman"/>
          <w:sz w:val="24"/>
          <w:szCs w:val="24"/>
        </w:rPr>
        <w:t xml:space="preserve"> </w:t>
      </w:r>
      <w:r w:rsidR="00FE33A8" w:rsidRPr="00B14ED8">
        <w:rPr>
          <w:rFonts w:ascii="Times New Roman" w:eastAsia="Times New Roman" w:hAnsi="Times New Roman" w:cs="Times New Roman"/>
          <w:sz w:val="24"/>
          <w:szCs w:val="24"/>
        </w:rPr>
        <w:t>-</w:t>
      </w:r>
      <w:r w:rsidR="00A02A70" w:rsidRPr="00B14ED8">
        <w:rPr>
          <w:rFonts w:ascii="Times New Roman" w:eastAsia="Times New Roman" w:hAnsi="Times New Roman" w:cs="Times New Roman"/>
          <w:sz w:val="24"/>
          <w:szCs w:val="24"/>
        </w:rPr>
        <w:t>1,002</w:t>
      </w:r>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dengan</w:t>
      </w:r>
      <w:proofErr w:type="spellEnd"/>
      <w:r w:rsidRPr="00B14ED8">
        <w:rPr>
          <w:rFonts w:ascii="Times New Roman" w:eastAsia="Times New Roman" w:hAnsi="Times New Roman" w:cs="Times New Roman"/>
          <w:sz w:val="24"/>
          <w:szCs w:val="24"/>
        </w:rPr>
        <w:t xml:space="preserve"> P-Value 0,0</w:t>
      </w:r>
      <w:r w:rsidR="0002323C" w:rsidRPr="00B14ED8">
        <w:rPr>
          <w:rFonts w:ascii="Times New Roman" w:eastAsia="Times New Roman" w:hAnsi="Times New Roman" w:cs="Times New Roman"/>
          <w:sz w:val="24"/>
          <w:szCs w:val="24"/>
        </w:rPr>
        <w:t>04</w:t>
      </w:r>
      <w:r w:rsidRPr="00B14ED8">
        <w:rPr>
          <w:rFonts w:ascii="Times New Roman" w:eastAsia="Times New Roman" w:hAnsi="Times New Roman" w:cs="Times New Roman"/>
          <w:sz w:val="24"/>
          <w:szCs w:val="24"/>
        </w:rPr>
        <w:t xml:space="preserve"> &lt; 0,05 yang </w:t>
      </w:r>
      <w:proofErr w:type="spellStart"/>
      <w:r w:rsidRPr="00B14ED8">
        <w:rPr>
          <w:rFonts w:ascii="Times New Roman" w:eastAsia="Times New Roman" w:hAnsi="Times New Roman" w:cs="Times New Roman"/>
          <w:sz w:val="24"/>
          <w:szCs w:val="24"/>
        </w:rPr>
        <w:t>berarti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bahwa</w:t>
      </w:r>
      <w:proofErr w:type="spellEnd"/>
      <w:r w:rsidRPr="00B14ED8">
        <w:rPr>
          <w:rFonts w:ascii="Times New Roman" w:eastAsia="Times New Roman" w:hAnsi="Times New Roman" w:cs="Times New Roman"/>
          <w:sz w:val="24"/>
          <w:szCs w:val="24"/>
        </w:rPr>
        <w:t xml:space="preserve"> </w:t>
      </w:r>
      <w:proofErr w:type="spellStart"/>
      <w:r w:rsidR="00206EFD" w:rsidRPr="00B14ED8">
        <w:rPr>
          <w:rFonts w:ascii="Times New Roman" w:eastAsia="Times New Roman" w:hAnsi="Times New Roman" w:cs="Times New Roman"/>
          <w:sz w:val="24"/>
          <w:szCs w:val="24"/>
        </w:rPr>
        <w:t>manajemen</w:t>
      </w:r>
      <w:proofErr w:type="spellEnd"/>
      <w:r w:rsidR="00206EFD" w:rsidRPr="00B14ED8">
        <w:rPr>
          <w:rFonts w:ascii="Times New Roman" w:eastAsia="Times New Roman" w:hAnsi="Times New Roman" w:cs="Times New Roman"/>
          <w:sz w:val="24"/>
          <w:szCs w:val="24"/>
        </w:rPr>
        <w:t xml:space="preserve"> </w:t>
      </w:r>
      <w:proofErr w:type="spellStart"/>
      <w:r w:rsidR="00206EFD" w:rsidRPr="00B14ED8">
        <w:rPr>
          <w:rFonts w:ascii="Times New Roman" w:eastAsia="Times New Roman" w:hAnsi="Times New Roman" w:cs="Times New Roman"/>
          <w:sz w:val="24"/>
          <w:szCs w:val="24"/>
        </w:rPr>
        <w:t>risiko</w:t>
      </w:r>
      <w:proofErr w:type="spellEnd"/>
      <w:r w:rsidR="00206EFD" w:rsidRPr="00B14ED8">
        <w:rPr>
          <w:rFonts w:ascii="Times New Roman" w:eastAsia="Times New Roman" w:hAnsi="Times New Roman" w:cs="Times New Roman"/>
          <w:sz w:val="24"/>
          <w:szCs w:val="24"/>
        </w:rPr>
        <w:t xml:space="preserve"> </w:t>
      </w:r>
      <w:proofErr w:type="spellStart"/>
      <w:r w:rsidR="00206EFD" w:rsidRPr="00B14ED8">
        <w:rPr>
          <w:rFonts w:ascii="Times New Roman" w:eastAsia="Times New Roman" w:hAnsi="Times New Roman" w:cs="Times New Roman"/>
          <w:sz w:val="24"/>
          <w:szCs w:val="24"/>
        </w:rPr>
        <w:t>mampu</w:t>
      </w:r>
      <w:proofErr w:type="spellEnd"/>
      <w:r w:rsidR="00206EFD" w:rsidRPr="00B14ED8">
        <w:rPr>
          <w:rFonts w:ascii="Times New Roman" w:eastAsia="Times New Roman" w:hAnsi="Times New Roman" w:cs="Times New Roman"/>
          <w:sz w:val="24"/>
          <w:szCs w:val="24"/>
        </w:rPr>
        <w:t xml:space="preserve"> </w:t>
      </w:r>
      <w:proofErr w:type="spellStart"/>
      <w:r w:rsidR="00206EFD" w:rsidRPr="00B14ED8">
        <w:rPr>
          <w:rFonts w:ascii="Times New Roman" w:eastAsia="Times New Roman" w:hAnsi="Times New Roman" w:cs="Times New Roman"/>
          <w:sz w:val="24"/>
          <w:szCs w:val="24"/>
        </w:rPr>
        <w:t>memoderasi</w:t>
      </w:r>
      <w:proofErr w:type="spellEnd"/>
      <w:r w:rsidR="00206EFD" w:rsidRPr="00B14ED8">
        <w:rPr>
          <w:rFonts w:ascii="Times New Roman" w:eastAsia="Times New Roman" w:hAnsi="Times New Roman" w:cs="Times New Roman"/>
          <w:sz w:val="24"/>
          <w:szCs w:val="24"/>
        </w:rPr>
        <w:t xml:space="preserve"> </w:t>
      </w:r>
      <w:proofErr w:type="spellStart"/>
      <w:r w:rsidR="00206EFD" w:rsidRPr="00B14ED8">
        <w:rPr>
          <w:rFonts w:ascii="Times New Roman" w:eastAsia="Times New Roman" w:hAnsi="Times New Roman" w:cs="Times New Roman"/>
          <w:sz w:val="24"/>
          <w:szCs w:val="24"/>
        </w:rPr>
        <w:t>pengaruh</w:t>
      </w:r>
      <w:proofErr w:type="spellEnd"/>
      <w:r w:rsidR="00206EFD" w:rsidRPr="00B14ED8">
        <w:rPr>
          <w:rFonts w:ascii="Times New Roman" w:eastAsia="Times New Roman" w:hAnsi="Times New Roman" w:cs="Times New Roman"/>
          <w:sz w:val="24"/>
          <w:szCs w:val="24"/>
        </w:rPr>
        <w:t xml:space="preserve"> </w:t>
      </w:r>
      <w:proofErr w:type="spellStart"/>
      <w:r w:rsidR="003B5300" w:rsidRPr="00B14ED8">
        <w:rPr>
          <w:rFonts w:ascii="Times New Roman" w:eastAsia="Times New Roman" w:hAnsi="Times New Roman" w:cs="Times New Roman"/>
          <w:sz w:val="24"/>
          <w:szCs w:val="24"/>
        </w:rPr>
        <w:t>pembiayaan</w:t>
      </w:r>
      <w:proofErr w:type="spellEnd"/>
      <w:r w:rsidR="003B5300" w:rsidRPr="00B14ED8">
        <w:rPr>
          <w:rFonts w:ascii="Times New Roman" w:eastAsia="Times New Roman" w:hAnsi="Times New Roman" w:cs="Times New Roman"/>
          <w:sz w:val="24"/>
          <w:szCs w:val="24"/>
        </w:rPr>
        <w:t xml:space="preserve"> </w:t>
      </w:r>
      <w:proofErr w:type="spellStart"/>
      <w:r w:rsidR="003B5300" w:rsidRPr="00B14ED8">
        <w:rPr>
          <w:rFonts w:ascii="Times New Roman" w:eastAsia="Times New Roman" w:hAnsi="Times New Roman" w:cs="Times New Roman"/>
          <w:i/>
          <w:iCs/>
          <w:sz w:val="24"/>
          <w:szCs w:val="24"/>
        </w:rPr>
        <w:t>mudharabah</w:t>
      </w:r>
      <w:proofErr w:type="spellEnd"/>
      <w:r w:rsidR="00470365" w:rsidRPr="00B14ED8">
        <w:rPr>
          <w:rFonts w:ascii="Times New Roman" w:eastAsia="Times New Roman" w:hAnsi="Times New Roman" w:cs="Times New Roman"/>
          <w:i/>
          <w:iCs/>
          <w:sz w:val="24"/>
          <w:szCs w:val="24"/>
        </w:rPr>
        <w:t xml:space="preserve"> </w:t>
      </w:r>
      <w:proofErr w:type="spellStart"/>
      <w:r w:rsidR="00470365" w:rsidRPr="00B14ED8">
        <w:rPr>
          <w:rFonts w:ascii="Times New Roman" w:eastAsia="Times New Roman" w:hAnsi="Times New Roman" w:cs="Times New Roman"/>
          <w:sz w:val="24"/>
          <w:szCs w:val="24"/>
        </w:rPr>
        <w:t>terhadap</w:t>
      </w:r>
      <w:proofErr w:type="spellEnd"/>
      <w:r w:rsidR="00470365" w:rsidRPr="00B14ED8">
        <w:rPr>
          <w:rFonts w:ascii="Times New Roman" w:eastAsia="Times New Roman" w:hAnsi="Times New Roman" w:cs="Times New Roman"/>
          <w:sz w:val="24"/>
          <w:szCs w:val="24"/>
        </w:rPr>
        <w:t xml:space="preserve"> </w:t>
      </w:r>
      <w:proofErr w:type="spellStart"/>
      <w:r w:rsidR="00470365" w:rsidRPr="00B14ED8">
        <w:rPr>
          <w:rFonts w:ascii="Times New Roman" w:eastAsia="Times New Roman" w:hAnsi="Times New Roman" w:cs="Times New Roman"/>
          <w:sz w:val="24"/>
          <w:szCs w:val="24"/>
        </w:rPr>
        <w:t>kinerja</w:t>
      </w:r>
      <w:proofErr w:type="spellEnd"/>
      <w:r w:rsidR="00470365" w:rsidRPr="00B14ED8">
        <w:rPr>
          <w:rFonts w:ascii="Times New Roman" w:eastAsia="Times New Roman" w:hAnsi="Times New Roman" w:cs="Times New Roman"/>
          <w:sz w:val="24"/>
          <w:szCs w:val="24"/>
        </w:rPr>
        <w:t xml:space="preserve"> </w:t>
      </w:r>
      <w:proofErr w:type="spellStart"/>
      <w:r w:rsidR="00470365" w:rsidRPr="00B14ED8">
        <w:rPr>
          <w:rFonts w:ascii="Times New Roman" w:eastAsia="Times New Roman" w:hAnsi="Times New Roman" w:cs="Times New Roman"/>
          <w:sz w:val="24"/>
          <w:szCs w:val="24"/>
        </w:rPr>
        <w:t>keuangan</w:t>
      </w:r>
      <w:proofErr w:type="spellEnd"/>
      <w:r w:rsidR="00357722" w:rsidRPr="00B14ED8">
        <w:rPr>
          <w:rFonts w:ascii="Times New Roman" w:eastAsia="Times New Roman" w:hAnsi="Times New Roman" w:cs="Times New Roman"/>
          <w:sz w:val="24"/>
          <w:szCs w:val="24"/>
        </w:rPr>
        <w:t>.</w:t>
      </w:r>
      <w:r w:rsidR="004866ED" w:rsidRPr="00B14ED8">
        <w:rPr>
          <w:rFonts w:ascii="Times New Roman" w:eastAsia="Times New Roman" w:hAnsi="Times New Roman" w:cs="Times New Roman"/>
          <w:sz w:val="24"/>
          <w:szCs w:val="24"/>
        </w:rPr>
        <w:t xml:space="preserve"> </w:t>
      </w:r>
      <w:proofErr w:type="spellStart"/>
      <w:r w:rsidR="000B7126" w:rsidRPr="00B14ED8">
        <w:rPr>
          <w:rFonts w:ascii="Times New Roman" w:eastAsia="Times New Roman" w:hAnsi="Times New Roman" w:cs="Times New Roman"/>
          <w:sz w:val="24"/>
          <w:szCs w:val="24"/>
        </w:rPr>
        <w:t>Keterangan</w:t>
      </w:r>
      <w:proofErr w:type="spellEnd"/>
      <w:r w:rsidR="000B7126" w:rsidRPr="00B14ED8">
        <w:rPr>
          <w:rFonts w:ascii="Times New Roman" w:eastAsia="Times New Roman" w:hAnsi="Times New Roman" w:cs="Times New Roman"/>
          <w:sz w:val="24"/>
          <w:szCs w:val="24"/>
        </w:rPr>
        <w:t xml:space="preserve"> </w:t>
      </w:r>
      <w:proofErr w:type="spellStart"/>
      <w:r w:rsidR="000B7126" w:rsidRPr="00B14ED8">
        <w:rPr>
          <w:rFonts w:ascii="Times New Roman" w:eastAsia="Times New Roman" w:hAnsi="Times New Roman" w:cs="Times New Roman"/>
          <w:sz w:val="24"/>
          <w:szCs w:val="24"/>
        </w:rPr>
        <w:t>ini</w:t>
      </w:r>
      <w:proofErr w:type="spellEnd"/>
      <w:r w:rsidR="000B7126" w:rsidRPr="00B14ED8">
        <w:rPr>
          <w:rFonts w:ascii="Times New Roman" w:eastAsia="Times New Roman" w:hAnsi="Times New Roman" w:cs="Times New Roman"/>
          <w:sz w:val="24"/>
          <w:szCs w:val="24"/>
        </w:rPr>
        <w:t xml:space="preserve"> </w:t>
      </w:r>
      <w:proofErr w:type="spellStart"/>
      <w:r w:rsidR="000B7126" w:rsidRPr="00B14ED8">
        <w:rPr>
          <w:rFonts w:ascii="Times New Roman" w:eastAsia="Times New Roman" w:hAnsi="Times New Roman" w:cs="Times New Roman"/>
          <w:sz w:val="24"/>
          <w:szCs w:val="24"/>
        </w:rPr>
        <w:t>mengindikasikan</w:t>
      </w:r>
      <w:proofErr w:type="spellEnd"/>
      <w:r w:rsidR="000B7126" w:rsidRPr="00B14ED8">
        <w:rPr>
          <w:rFonts w:ascii="Times New Roman" w:eastAsia="Times New Roman" w:hAnsi="Times New Roman" w:cs="Times New Roman"/>
          <w:sz w:val="24"/>
          <w:szCs w:val="24"/>
        </w:rPr>
        <w:t xml:space="preserve"> </w:t>
      </w:r>
      <w:proofErr w:type="spellStart"/>
      <w:r w:rsidR="000B7126" w:rsidRPr="00B14ED8">
        <w:rPr>
          <w:rFonts w:ascii="Times New Roman" w:eastAsia="Times New Roman" w:hAnsi="Times New Roman" w:cs="Times New Roman"/>
          <w:sz w:val="24"/>
          <w:szCs w:val="24"/>
        </w:rPr>
        <w:t>bahwa</w:t>
      </w:r>
      <w:proofErr w:type="spellEnd"/>
      <w:r w:rsidR="000B7126" w:rsidRPr="00B14ED8">
        <w:rPr>
          <w:rFonts w:ascii="Times New Roman" w:eastAsia="Times New Roman" w:hAnsi="Times New Roman" w:cs="Times New Roman"/>
          <w:sz w:val="24"/>
          <w:szCs w:val="24"/>
        </w:rPr>
        <w:t xml:space="preserve"> H</w:t>
      </w:r>
      <w:r w:rsidR="00B22BB6" w:rsidRPr="00B14ED8">
        <w:rPr>
          <w:rFonts w:ascii="Times New Roman" w:eastAsia="Times New Roman" w:hAnsi="Times New Roman" w:cs="Times New Roman"/>
          <w:sz w:val="24"/>
          <w:szCs w:val="24"/>
        </w:rPr>
        <w:t>3</w:t>
      </w:r>
      <w:r w:rsidR="000B7126" w:rsidRPr="00B14ED8">
        <w:rPr>
          <w:rFonts w:ascii="Times New Roman" w:eastAsia="Times New Roman" w:hAnsi="Times New Roman" w:cs="Times New Roman"/>
          <w:sz w:val="24"/>
          <w:szCs w:val="24"/>
        </w:rPr>
        <w:t xml:space="preserve"> </w:t>
      </w:r>
      <w:proofErr w:type="spellStart"/>
      <w:r w:rsidR="000B7126" w:rsidRPr="00B14ED8">
        <w:rPr>
          <w:rFonts w:ascii="Times New Roman" w:eastAsia="Times New Roman" w:hAnsi="Times New Roman" w:cs="Times New Roman"/>
          <w:sz w:val="24"/>
          <w:szCs w:val="24"/>
        </w:rPr>
        <w:t>penelitian</w:t>
      </w:r>
      <w:proofErr w:type="spellEnd"/>
      <w:r w:rsidR="000B7126" w:rsidRPr="00B14ED8">
        <w:rPr>
          <w:rFonts w:ascii="Times New Roman" w:eastAsia="Times New Roman" w:hAnsi="Times New Roman" w:cs="Times New Roman"/>
          <w:sz w:val="24"/>
          <w:szCs w:val="24"/>
        </w:rPr>
        <w:t xml:space="preserve"> </w:t>
      </w:r>
      <w:proofErr w:type="spellStart"/>
      <w:r w:rsidR="000B7126" w:rsidRPr="00B14ED8">
        <w:rPr>
          <w:rFonts w:ascii="Times New Roman" w:eastAsia="Times New Roman" w:hAnsi="Times New Roman" w:cs="Times New Roman"/>
          <w:sz w:val="24"/>
          <w:szCs w:val="24"/>
        </w:rPr>
        <w:t>diterima</w:t>
      </w:r>
      <w:proofErr w:type="spellEnd"/>
      <w:r w:rsidR="00D60D1D" w:rsidRPr="00B14ED8">
        <w:rPr>
          <w:rFonts w:ascii="Times New Roman" w:eastAsia="Times New Roman" w:hAnsi="Times New Roman" w:cs="Times New Roman"/>
          <w:sz w:val="24"/>
          <w:szCs w:val="24"/>
        </w:rPr>
        <w:t>.</w:t>
      </w:r>
      <w:r w:rsidR="00A45A55" w:rsidRPr="00B14ED8">
        <w:rPr>
          <w:rFonts w:ascii="Times New Roman" w:eastAsia="Times New Roman" w:hAnsi="Times New Roman" w:cs="Times New Roman"/>
          <w:sz w:val="24"/>
          <w:szCs w:val="24"/>
        </w:rPr>
        <w:t xml:space="preserve"> </w:t>
      </w:r>
      <w:proofErr w:type="spellStart"/>
      <w:r w:rsidR="00A45A55" w:rsidRPr="00B14ED8">
        <w:rPr>
          <w:rFonts w:ascii="Times New Roman" w:eastAsia="Times New Roman" w:hAnsi="Times New Roman" w:cs="Times New Roman"/>
          <w:sz w:val="24"/>
          <w:szCs w:val="24"/>
        </w:rPr>
        <w:t>Untuk</w:t>
      </w:r>
      <w:proofErr w:type="spellEnd"/>
      <w:r w:rsidR="00A45A55" w:rsidRPr="00B14ED8">
        <w:rPr>
          <w:rFonts w:ascii="Times New Roman" w:eastAsia="Times New Roman" w:hAnsi="Times New Roman" w:cs="Times New Roman"/>
          <w:sz w:val="24"/>
          <w:szCs w:val="24"/>
        </w:rPr>
        <w:t xml:space="preserve"> </w:t>
      </w:r>
      <w:proofErr w:type="spellStart"/>
      <w:r w:rsidR="00A45A55" w:rsidRPr="00B14ED8">
        <w:rPr>
          <w:rFonts w:ascii="Times New Roman" w:eastAsia="Times New Roman" w:hAnsi="Times New Roman" w:cs="Times New Roman"/>
          <w:sz w:val="24"/>
          <w:szCs w:val="24"/>
        </w:rPr>
        <w:t>arah</w:t>
      </w:r>
      <w:proofErr w:type="spellEnd"/>
      <w:r w:rsidR="00A45A55" w:rsidRPr="00B14ED8">
        <w:rPr>
          <w:rFonts w:ascii="Times New Roman" w:eastAsia="Times New Roman" w:hAnsi="Times New Roman" w:cs="Times New Roman"/>
          <w:sz w:val="24"/>
          <w:szCs w:val="24"/>
        </w:rPr>
        <w:t xml:space="preserve"> </w:t>
      </w:r>
      <w:proofErr w:type="spellStart"/>
      <w:r w:rsidR="00A45A55" w:rsidRPr="00B14ED8">
        <w:rPr>
          <w:rFonts w:ascii="Times New Roman" w:eastAsia="Times New Roman" w:hAnsi="Times New Roman" w:cs="Times New Roman"/>
          <w:sz w:val="24"/>
          <w:szCs w:val="24"/>
        </w:rPr>
        <w:t>moderasi</w:t>
      </w:r>
      <w:proofErr w:type="spellEnd"/>
      <w:r w:rsidR="00A45A55" w:rsidRPr="00B14ED8">
        <w:rPr>
          <w:rFonts w:ascii="Times New Roman" w:eastAsia="Times New Roman" w:hAnsi="Times New Roman" w:cs="Times New Roman"/>
          <w:sz w:val="24"/>
          <w:szCs w:val="24"/>
        </w:rPr>
        <w:t xml:space="preserve"> </w:t>
      </w:r>
      <w:proofErr w:type="spellStart"/>
      <w:r w:rsidR="00A45A55" w:rsidRPr="00B14ED8">
        <w:rPr>
          <w:rFonts w:ascii="Times New Roman" w:eastAsia="Times New Roman" w:hAnsi="Times New Roman" w:cs="Times New Roman"/>
          <w:sz w:val="24"/>
          <w:szCs w:val="24"/>
        </w:rPr>
        <w:t>terbukti</w:t>
      </w:r>
      <w:proofErr w:type="spellEnd"/>
      <w:r w:rsidR="00A45A55" w:rsidRPr="00B14ED8">
        <w:rPr>
          <w:rFonts w:ascii="Times New Roman" w:eastAsia="Times New Roman" w:hAnsi="Times New Roman" w:cs="Times New Roman"/>
          <w:sz w:val="24"/>
          <w:szCs w:val="24"/>
        </w:rPr>
        <w:t xml:space="preserve"> </w:t>
      </w:r>
      <w:proofErr w:type="spellStart"/>
      <w:r w:rsidR="00A45A55" w:rsidRPr="00B14ED8">
        <w:rPr>
          <w:rFonts w:ascii="Times New Roman" w:eastAsia="Times New Roman" w:hAnsi="Times New Roman" w:cs="Times New Roman"/>
          <w:sz w:val="24"/>
          <w:szCs w:val="24"/>
        </w:rPr>
        <w:t>negatif</w:t>
      </w:r>
      <w:proofErr w:type="spellEnd"/>
      <w:r w:rsidR="00A45A55" w:rsidRPr="00B14ED8">
        <w:rPr>
          <w:rFonts w:ascii="Times New Roman" w:eastAsia="Times New Roman" w:hAnsi="Times New Roman" w:cs="Times New Roman"/>
          <w:sz w:val="24"/>
          <w:szCs w:val="24"/>
        </w:rPr>
        <w:t xml:space="preserve"> </w:t>
      </w:r>
      <w:proofErr w:type="spellStart"/>
      <w:r w:rsidR="00A45A55" w:rsidRPr="00B14ED8">
        <w:rPr>
          <w:rFonts w:ascii="Times New Roman" w:eastAsia="Times New Roman" w:hAnsi="Times New Roman" w:cs="Times New Roman"/>
          <w:sz w:val="24"/>
          <w:szCs w:val="24"/>
        </w:rPr>
        <w:t>sehingga</w:t>
      </w:r>
      <w:proofErr w:type="spellEnd"/>
      <w:r w:rsidR="00A45A55" w:rsidRPr="00B14ED8">
        <w:rPr>
          <w:rFonts w:ascii="Times New Roman" w:eastAsia="Times New Roman" w:hAnsi="Times New Roman" w:cs="Times New Roman"/>
          <w:sz w:val="24"/>
          <w:szCs w:val="24"/>
        </w:rPr>
        <w:t xml:space="preserve"> </w:t>
      </w:r>
      <w:proofErr w:type="spellStart"/>
      <w:r w:rsidR="00A45A55" w:rsidRPr="00B14ED8">
        <w:rPr>
          <w:rFonts w:ascii="Times New Roman" w:eastAsia="Times New Roman" w:hAnsi="Times New Roman" w:cs="Times New Roman"/>
          <w:sz w:val="24"/>
          <w:szCs w:val="24"/>
        </w:rPr>
        <w:t>sifat</w:t>
      </w:r>
      <w:proofErr w:type="spellEnd"/>
      <w:r w:rsidR="00A45A55" w:rsidRPr="00B14ED8">
        <w:rPr>
          <w:rFonts w:ascii="Times New Roman" w:eastAsia="Times New Roman" w:hAnsi="Times New Roman" w:cs="Times New Roman"/>
          <w:sz w:val="24"/>
          <w:szCs w:val="24"/>
        </w:rPr>
        <w:t xml:space="preserve"> </w:t>
      </w:r>
      <w:proofErr w:type="spellStart"/>
      <w:r w:rsidR="00A45A55" w:rsidRPr="00B14ED8">
        <w:rPr>
          <w:rFonts w:ascii="Times New Roman" w:eastAsia="Times New Roman" w:hAnsi="Times New Roman" w:cs="Times New Roman"/>
          <w:sz w:val="24"/>
          <w:szCs w:val="24"/>
        </w:rPr>
        <w:t>variabel</w:t>
      </w:r>
      <w:proofErr w:type="spellEnd"/>
      <w:r w:rsidR="00A45A55" w:rsidRPr="00B14ED8">
        <w:rPr>
          <w:rFonts w:ascii="Times New Roman" w:eastAsia="Times New Roman" w:hAnsi="Times New Roman" w:cs="Times New Roman"/>
          <w:sz w:val="24"/>
          <w:szCs w:val="24"/>
        </w:rPr>
        <w:t xml:space="preserve"> </w:t>
      </w:r>
      <w:proofErr w:type="spellStart"/>
      <w:r w:rsidR="00A45A55" w:rsidRPr="00B14ED8">
        <w:rPr>
          <w:rFonts w:ascii="Times New Roman" w:eastAsia="Times New Roman" w:hAnsi="Times New Roman" w:cs="Times New Roman"/>
          <w:sz w:val="24"/>
          <w:szCs w:val="24"/>
        </w:rPr>
        <w:t>manajemen</w:t>
      </w:r>
      <w:proofErr w:type="spellEnd"/>
      <w:r w:rsidR="00A45A55" w:rsidRPr="00B14ED8">
        <w:rPr>
          <w:rFonts w:ascii="Times New Roman" w:eastAsia="Times New Roman" w:hAnsi="Times New Roman" w:cs="Times New Roman"/>
          <w:sz w:val="24"/>
          <w:szCs w:val="24"/>
        </w:rPr>
        <w:t xml:space="preserve"> </w:t>
      </w:r>
      <w:proofErr w:type="spellStart"/>
      <w:r w:rsidR="00A45A55" w:rsidRPr="00B14ED8">
        <w:rPr>
          <w:rFonts w:ascii="Times New Roman" w:eastAsia="Times New Roman" w:hAnsi="Times New Roman" w:cs="Times New Roman"/>
          <w:sz w:val="24"/>
          <w:szCs w:val="24"/>
        </w:rPr>
        <w:t>risiko</w:t>
      </w:r>
      <w:proofErr w:type="spellEnd"/>
      <w:r w:rsidR="00A45A55" w:rsidRPr="00B14ED8">
        <w:rPr>
          <w:rFonts w:ascii="Times New Roman" w:eastAsia="Times New Roman" w:hAnsi="Times New Roman" w:cs="Times New Roman"/>
          <w:sz w:val="24"/>
          <w:szCs w:val="24"/>
        </w:rPr>
        <w:t xml:space="preserve"> </w:t>
      </w:r>
      <w:proofErr w:type="spellStart"/>
      <w:r w:rsidR="00A45A55" w:rsidRPr="00B14ED8">
        <w:rPr>
          <w:rFonts w:ascii="Times New Roman" w:eastAsia="Times New Roman" w:hAnsi="Times New Roman" w:cs="Times New Roman"/>
          <w:sz w:val="24"/>
          <w:szCs w:val="24"/>
        </w:rPr>
        <w:t>adalah</w:t>
      </w:r>
      <w:proofErr w:type="spellEnd"/>
      <w:r w:rsidR="00A45A55" w:rsidRPr="00B14ED8">
        <w:rPr>
          <w:rFonts w:ascii="Times New Roman" w:eastAsia="Times New Roman" w:hAnsi="Times New Roman" w:cs="Times New Roman"/>
          <w:sz w:val="24"/>
          <w:szCs w:val="24"/>
        </w:rPr>
        <w:t xml:space="preserve"> </w:t>
      </w:r>
      <w:proofErr w:type="spellStart"/>
      <w:r w:rsidR="00A45A55" w:rsidRPr="00B14ED8">
        <w:rPr>
          <w:rFonts w:ascii="Times New Roman" w:eastAsia="Times New Roman" w:hAnsi="Times New Roman" w:cs="Times New Roman"/>
          <w:sz w:val="24"/>
          <w:szCs w:val="24"/>
        </w:rPr>
        <w:t>melemahkan</w:t>
      </w:r>
      <w:proofErr w:type="spellEnd"/>
      <w:r w:rsidR="00A45A55" w:rsidRPr="00B14ED8">
        <w:rPr>
          <w:rFonts w:ascii="Times New Roman" w:eastAsia="Times New Roman" w:hAnsi="Times New Roman" w:cs="Times New Roman"/>
          <w:sz w:val="24"/>
          <w:szCs w:val="24"/>
        </w:rPr>
        <w:t xml:space="preserve"> </w:t>
      </w:r>
      <w:proofErr w:type="spellStart"/>
      <w:r w:rsidR="00A45A55" w:rsidRPr="00B14ED8">
        <w:rPr>
          <w:rFonts w:ascii="Times New Roman" w:eastAsia="Times New Roman" w:hAnsi="Times New Roman" w:cs="Times New Roman"/>
          <w:sz w:val="24"/>
          <w:szCs w:val="24"/>
        </w:rPr>
        <w:t>pengaruh</w:t>
      </w:r>
      <w:proofErr w:type="spellEnd"/>
      <w:r w:rsidR="00A45A55" w:rsidRPr="00B14ED8">
        <w:rPr>
          <w:rFonts w:ascii="Times New Roman" w:eastAsia="Times New Roman" w:hAnsi="Times New Roman" w:cs="Times New Roman"/>
          <w:sz w:val="24"/>
          <w:szCs w:val="24"/>
        </w:rPr>
        <w:t xml:space="preserve"> </w:t>
      </w:r>
      <w:proofErr w:type="spellStart"/>
      <w:r w:rsidR="008D7ADE" w:rsidRPr="00B14ED8">
        <w:rPr>
          <w:rFonts w:ascii="Times New Roman" w:eastAsia="Times New Roman" w:hAnsi="Times New Roman" w:cs="Times New Roman"/>
          <w:sz w:val="24"/>
          <w:szCs w:val="24"/>
        </w:rPr>
        <w:t>pembiayaan</w:t>
      </w:r>
      <w:proofErr w:type="spellEnd"/>
      <w:r w:rsidR="008D7ADE" w:rsidRPr="00B14ED8">
        <w:rPr>
          <w:rFonts w:ascii="Times New Roman" w:eastAsia="Times New Roman" w:hAnsi="Times New Roman" w:cs="Times New Roman"/>
          <w:sz w:val="24"/>
          <w:szCs w:val="24"/>
        </w:rPr>
        <w:t xml:space="preserve"> </w:t>
      </w:r>
      <w:proofErr w:type="spellStart"/>
      <w:r w:rsidR="008D7ADE" w:rsidRPr="00B14ED8">
        <w:rPr>
          <w:rFonts w:ascii="Times New Roman" w:eastAsia="Times New Roman" w:hAnsi="Times New Roman" w:cs="Times New Roman"/>
          <w:i/>
          <w:iCs/>
          <w:sz w:val="24"/>
          <w:szCs w:val="24"/>
        </w:rPr>
        <w:t>mudharabah</w:t>
      </w:r>
      <w:proofErr w:type="spellEnd"/>
      <w:r w:rsidR="008D7ADE" w:rsidRPr="00B14ED8">
        <w:rPr>
          <w:rFonts w:ascii="Times New Roman" w:eastAsia="Times New Roman" w:hAnsi="Times New Roman" w:cs="Times New Roman"/>
          <w:i/>
          <w:iCs/>
          <w:sz w:val="24"/>
          <w:szCs w:val="24"/>
        </w:rPr>
        <w:t xml:space="preserve"> </w:t>
      </w:r>
      <w:proofErr w:type="spellStart"/>
      <w:r w:rsidR="008D7ADE" w:rsidRPr="00B14ED8">
        <w:rPr>
          <w:rFonts w:ascii="Times New Roman" w:eastAsia="Times New Roman" w:hAnsi="Times New Roman" w:cs="Times New Roman"/>
          <w:sz w:val="24"/>
          <w:szCs w:val="24"/>
        </w:rPr>
        <w:t>terhadap</w:t>
      </w:r>
      <w:proofErr w:type="spellEnd"/>
      <w:r w:rsidR="008D7ADE" w:rsidRPr="00B14ED8">
        <w:rPr>
          <w:rFonts w:ascii="Times New Roman" w:eastAsia="Times New Roman" w:hAnsi="Times New Roman" w:cs="Times New Roman"/>
          <w:sz w:val="24"/>
          <w:szCs w:val="24"/>
        </w:rPr>
        <w:t xml:space="preserve"> </w:t>
      </w:r>
      <w:proofErr w:type="spellStart"/>
      <w:r w:rsidR="002806AE" w:rsidRPr="00B14ED8">
        <w:rPr>
          <w:rFonts w:ascii="Times New Roman" w:eastAsia="Times New Roman" w:hAnsi="Times New Roman" w:cs="Times New Roman"/>
          <w:sz w:val="24"/>
          <w:szCs w:val="24"/>
        </w:rPr>
        <w:t>kinerja</w:t>
      </w:r>
      <w:proofErr w:type="spellEnd"/>
      <w:r w:rsidR="002806AE" w:rsidRPr="00B14ED8">
        <w:rPr>
          <w:rFonts w:ascii="Times New Roman" w:eastAsia="Times New Roman" w:hAnsi="Times New Roman" w:cs="Times New Roman"/>
          <w:sz w:val="24"/>
          <w:szCs w:val="24"/>
        </w:rPr>
        <w:t xml:space="preserve"> </w:t>
      </w:r>
      <w:proofErr w:type="spellStart"/>
      <w:r w:rsidR="002806AE" w:rsidRPr="00B14ED8">
        <w:rPr>
          <w:rFonts w:ascii="Times New Roman" w:eastAsia="Times New Roman" w:hAnsi="Times New Roman" w:cs="Times New Roman"/>
          <w:sz w:val="24"/>
          <w:szCs w:val="24"/>
        </w:rPr>
        <w:t>keuangan</w:t>
      </w:r>
      <w:proofErr w:type="spellEnd"/>
      <w:r w:rsidR="00D611BA" w:rsidRPr="00B14ED8">
        <w:rPr>
          <w:rFonts w:ascii="Times New Roman" w:eastAsia="Times New Roman" w:hAnsi="Times New Roman" w:cs="Times New Roman"/>
          <w:sz w:val="24"/>
          <w:szCs w:val="24"/>
        </w:rPr>
        <w:t>.</w:t>
      </w:r>
      <w:r w:rsidR="007A0EA4" w:rsidRPr="00B14ED8">
        <w:rPr>
          <w:rFonts w:ascii="Times New Roman" w:eastAsia="Times New Roman" w:hAnsi="Times New Roman" w:cs="Times New Roman"/>
          <w:sz w:val="24"/>
          <w:szCs w:val="24"/>
        </w:rPr>
        <w:t xml:space="preserve"> </w:t>
      </w:r>
      <w:proofErr w:type="spellStart"/>
      <w:r w:rsidR="007A0EA4" w:rsidRPr="00B14ED8">
        <w:rPr>
          <w:rFonts w:ascii="Times New Roman" w:eastAsia="Times New Roman" w:hAnsi="Times New Roman" w:cs="Times New Roman"/>
          <w:sz w:val="24"/>
          <w:szCs w:val="24"/>
        </w:rPr>
        <w:t>Artinya</w:t>
      </w:r>
      <w:proofErr w:type="spellEnd"/>
      <w:r w:rsidR="007A0EA4" w:rsidRPr="00B14ED8">
        <w:rPr>
          <w:rFonts w:ascii="Times New Roman" w:eastAsia="Times New Roman" w:hAnsi="Times New Roman" w:cs="Times New Roman"/>
          <w:sz w:val="24"/>
          <w:szCs w:val="24"/>
        </w:rPr>
        <w:t xml:space="preserve"> </w:t>
      </w:r>
      <w:proofErr w:type="spellStart"/>
      <w:r w:rsidR="00F4527D" w:rsidRPr="00B14ED8">
        <w:rPr>
          <w:rFonts w:ascii="Times New Roman" w:eastAsia="Times New Roman" w:hAnsi="Times New Roman" w:cs="Times New Roman"/>
          <w:sz w:val="24"/>
          <w:szCs w:val="24"/>
        </w:rPr>
        <w:t>manajemen</w:t>
      </w:r>
      <w:proofErr w:type="spellEnd"/>
      <w:r w:rsidR="00F4527D" w:rsidRPr="00B14ED8">
        <w:rPr>
          <w:rFonts w:ascii="Times New Roman" w:eastAsia="Times New Roman" w:hAnsi="Times New Roman" w:cs="Times New Roman"/>
          <w:sz w:val="24"/>
          <w:szCs w:val="24"/>
        </w:rPr>
        <w:t xml:space="preserve"> </w:t>
      </w:r>
      <w:proofErr w:type="spellStart"/>
      <w:r w:rsidR="00F4527D" w:rsidRPr="00B14ED8">
        <w:rPr>
          <w:rFonts w:ascii="Times New Roman" w:eastAsia="Times New Roman" w:hAnsi="Times New Roman" w:cs="Times New Roman"/>
          <w:sz w:val="24"/>
          <w:szCs w:val="24"/>
        </w:rPr>
        <w:t>risiko</w:t>
      </w:r>
      <w:proofErr w:type="spellEnd"/>
      <w:r w:rsidR="00F4527D" w:rsidRPr="00B14ED8">
        <w:rPr>
          <w:rFonts w:ascii="Times New Roman" w:eastAsia="Times New Roman" w:hAnsi="Times New Roman" w:cs="Times New Roman"/>
          <w:sz w:val="24"/>
          <w:szCs w:val="24"/>
        </w:rPr>
        <w:t xml:space="preserve"> </w:t>
      </w:r>
      <w:proofErr w:type="spellStart"/>
      <w:r w:rsidR="00C531AD" w:rsidRPr="00B14ED8">
        <w:rPr>
          <w:rFonts w:ascii="Times New Roman" w:eastAsia="Times New Roman" w:hAnsi="Times New Roman" w:cs="Times New Roman"/>
          <w:sz w:val="24"/>
          <w:szCs w:val="24"/>
        </w:rPr>
        <w:t>perbankan</w:t>
      </w:r>
      <w:proofErr w:type="spellEnd"/>
      <w:r w:rsidR="00C531AD" w:rsidRPr="00B14ED8">
        <w:rPr>
          <w:rFonts w:ascii="Times New Roman" w:eastAsia="Times New Roman" w:hAnsi="Times New Roman" w:cs="Times New Roman"/>
          <w:sz w:val="24"/>
          <w:szCs w:val="24"/>
        </w:rPr>
        <w:t xml:space="preserve"> </w:t>
      </w:r>
      <w:proofErr w:type="spellStart"/>
      <w:r w:rsidR="00B94573" w:rsidRPr="00B14ED8">
        <w:rPr>
          <w:rFonts w:ascii="Times New Roman" w:eastAsia="Times New Roman" w:hAnsi="Times New Roman" w:cs="Times New Roman"/>
          <w:sz w:val="24"/>
          <w:szCs w:val="24"/>
        </w:rPr>
        <w:t>diterapkan</w:t>
      </w:r>
      <w:proofErr w:type="spellEnd"/>
      <w:r w:rsidR="00B94573" w:rsidRPr="00B14ED8">
        <w:rPr>
          <w:rFonts w:ascii="Times New Roman" w:eastAsia="Times New Roman" w:hAnsi="Times New Roman" w:cs="Times New Roman"/>
          <w:sz w:val="24"/>
          <w:szCs w:val="24"/>
        </w:rPr>
        <w:t xml:space="preserve"> </w:t>
      </w:r>
      <w:proofErr w:type="spellStart"/>
      <w:r w:rsidR="00B94573" w:rsidRPr="00B14ED8">
        <w:rPr>
          <w:rFonts w:ascii="Times New Roman" w:eastAsia="Times New Roman" w:hAnsi="Times New Roman" w:cs="Times New Roman"/>
          <w:sz w:val="24"/>
          <w:szCs w:val="24"/>
        </w:rPr>
        <w:t>untuk</w:t>
      </w:r>
      <w:proofErr w:type="spellEnd"/>
      <w:r w:rsidR="00B94573" w:rsidRPr="00B14ED8">
        <w:rPr>
          <w:rFonts w:ascii="Times New Roman" w:eastAsia="Times New Roman" w:hAnsi="Times New Roman" w:cs="Times New Roman"/>
          <w:sz w:val="24"/>
          <w:szCs w:val="24"/>
        </w:rPr>
        <w:t xml:space="preserve"> </w:t>
      </w:r>
      <w:proofErr w:type="spellStart"/>
      <w:r w:rsidR="00B94573" w:rsidRPr="00B14ED8">
        <w:rPr>
          <w:rFonts w:ascii="Times New Roman" w:eastAsia="Times New Roman" w:hAnsi="Times New Roman" w:cs="Times New Roman"/>
          <w:sz w:val="24"/>
          <w:szCs w:val="24"/>
        </w:rPr>
        <w:t>menurunkan</w:t>
      </w:r>
      <w:proofErr w:type="spellEnd"/>
      <w:r w:rsidR="00B94573" w:rsidRPr="00B14ED8">
        <w:rPr>
          <w:rFonts w:ascii="Times New Roman" w:eastAsia="Times New Roman" w:hAnsi="Times New Roman" w:cs="Times New Roman"/>
          <w:sz w:val="24"/>
          <w:szCs w:val="24"/>
        </w:rPr>
        <w:t xml:space="preserve"> </w:t>
      </w:r>
      <w:proofErr w:type="spellStart"/>
      <w:r w:rsidR="00B94573" w:rsidRPr="00B14ED8">
        <w:rPr>
          <w:rFonts w:ascii="Times New Roman" w:eastAsia="Times New Roman" w:hAnsi="Times New Roman" w:cs="Times New Roman"/>
          <w:sz w:val="24"/>
          <w:szCs w:val="24"/>
        </w:rPr>
        <w:t>potensi</w:t>
      </w:r>
      <w:proofErr w:type="spellEnd"/>
      <w:r w:rsidR="00B94573" w:rsidRPr="00B14ED8">
        <w:rPr>
          <w:rFonts w:ascii="Times New Roman" w:eastAsia="Times New Roman" w:hAnsi="Times New Roman" w:cs="Times New Roman"/>
          <w:sz w:val="24"/>
          <w:szCs w:val="24"/>
        </w:rPr>
        <w:t xml:space="preserve"> </w:t>
      </w:r>
      <w:proofErr w:type="spellStart"/>
      <w:r w:rsidR="00675BAD" w:rsidRPr="00B14ED8">
        <w:rPr>
          <w:rFonts w:ascii="Times New Roman" w:eastAsia="Times New Roman" w:hAnsi="Times New Roman" w:cs="Times New Roman"/>
          <w:sz w:val="24"/>
          <w:szCs w:val="24"/>
        </w:rPr>
        <w:t>kerugian</w:t>
      </w:r>
      <w:proofErr w:type="spellEnd"/>
      <w:r w:rsidR="00675BAD" w:rsidRPr="00B14ED8">
        <w:rPr>
          <w:rFonts w:ascii="Times New Roman" w:eastAsia="Times New Roman" w:hAnsi="Times New Roman" w:cs="Times New Roman"/>
          <w:sz w:val="24"/>
          <w:szCs w:val="24"/>
        </w:rPr>
        <w:t xml:space="preserve"> yang </w:t>
      </w:r>
      <w:proofErr w:type="spellStart"/>
      <w:r w:rsidR="00675BAD" w:rsidRPr="00B14ED8">
        <w:rPr>
          <w:rFonts w:ascii="Times New Roman" w:eastAsia="Times New Roman" w:hAnsi="Times New Roman" w:cs="Times New Roman"/>
          <w:sz w:val="24"/>
          <w:szCs w:val="24"/>
        </w:rPr>
        <w:t>dapat</w:t>
      </w:r>
      <w:proofErr w:type="spellEnd"/>
      <w:r w:rsidR="00675BAD" w:rsidRPr="00B14ED8">
        <w:rPr>
          <w:rFonts w:ascii="Times New Roman" w:eastAsia="Times New Roman" w:hAnsi="Times New Roman" w:cs="Times New Roman"/>
          <w:sz w:val="24"/>
          <w:szCs w:val="24"/>
        </w:rPr>
        <w:t xml:space="preserve"> </w:t>
      </w:r>
      <w:proofErr w:type="spellStart"/>
      <w:r w:rsidR="00675BAD" w:rsidRPr="00B14ED8">
        <w:rPr>
          <w:rFonts w:ascii="Times New Roman" w:eastAsia="Times New Roman" w:hAnsi="Times New Roman" w:cs="Times New Roman"/>
          <w:sz w:val="24"/>
          <w:szCs w:val="24"/>
        </w:rPr>
        <w:t>ditimbulkan</w:t>
      </w:r>
      <w:proofErr w:type="spellEnd"/>
      <w:r w:rsidR="00675BAD" w:rsidRPr="00B14ED8">
        <w:rPr>
          <w:rFonts w:ascii="Times New Roman" w:eastAsia="Times New Roman" w:hAnsi="Times New Roman" w:cs="Times New Roman"/>
          <w:sz w:val="24"/>
          <w:szCs w:val="24"/>
        </w:rPr>
        <w:t xml:space="preserve"> oleh </w:t>
      </w:r>
      <w:proofErr w:type="spellStart"/>
      <w:r w:rsidR="00675BAD" w:rsidRPr="00B14ED8">
        <w:rPr>
          <w:rFonts w:ascii="Times New Roman" w:eastAsia="Times New Roman" w:hAnsi="Times New Roman" w:cs="Times New Roman"/>
          <w:sz w:val="24"/>
          <w:szCs w:val="24"/>
        </w:rPr>
        <w:t>pembiayaan</w:t>
      </w:r>
      <w:proofErr w:type="spellEnd"/>
      <w:r w:rsidR="00675BAD" w:rsidRPr="00B14ED8">
        <w:rPr>
          <w:rFonts w:ascii="Times New Roman" w:eastAsia="Times New Roman" w:hAnsi="Times New Roman" w:cs="Times New Roman"/>
          <w:sz w:val="24"/>
          <w:szCs w:val="24"/>
        </w:rPr>
        <w:t xml:space="preserve"> </w:t>
      </w:r>
      <w:proofErr w:type="spellStart"/>
      <w:r w:rsidR="00675BAD" w:rsidRPr="00B14ED8">
        <w:rPr>
          <w:rFonts w:ascii="Times New Roman" w:eastAsia="Times New Roman" w:hAnsi="Times New Roman" w:cs="Times New Roman"/>
          <w:i/>
          <w:iCs/>
          <w:sz w:val="24"/>
          <w:szCs w:val="24"/>
        </w:rPr>
        <w:t>mudharabah</w:t>
      </w:r>
      <w:proofErr w:type="spellEnd"/>
      <w:r w:rsidR="00675BAD" w:rsidRPr="00B14ED8">
        <w:rPr>
          <w:rFonts w:ascii="Times New Roman" w:eastAsia="Times New Roman" w:hAnsi="Times New Roman" w:cs="Times New Roman"/>
          <w:i/>
          <w:iCs/>
          <w:sz w:val="24"/>
          <w:szCs w:val="24"/>
        </w:rPr>
        <w:t xml:space="preserve"> </w:t>
      </w:r>
      <w:r w:rsidR="00675BAD" w:rsidRPr="00B14ED8">
        <w:rPr>
          <w:rFonts w:ascii="Times New Roman" w:eastAsia="Times New Roman" w:hAnsi="Times New Roman" w:cs="Times New Roman"/>
          <w:sz w:val="24"/>
          <w:szCs w:val="24"/>
        </w:rPr>
        <w:t xml:space="preserve">yang </w:t>
      </w:r>
      <w:proofErr w:type="spellStart"/>
      <w:r w:rsidR="00675BAD" w:rsidRPr="00B14ED8">
        <w:rPr>
          <w:rFonts w:ascii="Times New Roman" w:eastAsia="Times New Roman" w:hAnsi="Times New Roman" w:cs="Times New Roman"/>
          <w:sz w:val="24"/>
          <w:szCs w:val="24"/>
        </w:rPr>
        <w:t>dihasilkan</w:t>
      </w:r>
      <w:proofErr w:type="spellEnd"/>
      <w:r w:rsidR="00D12B9E" w:rsidRPr="00B14ED8">
        <w:rPr>
          <w:rFonts w:ascii="Times New Roman" w:eastAsia="Times New Roman" w:hAnsi="Times New Roman" w:cs="Times New Roman"/>
          <w:sz w:val="24"/>
          <w:szCs w:val="24"/>
        </w:rPr>
        <w:t xml:space="preserve">. </w:t>
      </w:r>
      <w:proofErr w:type="spellStart"/>
      <w:r w:rsidR="00D12B9E" w:rsidRPr="00B14ED8">
        <w:rPr>
          <w:rFonts w:ascii="Times New Roman" w:eastAsia="Times New Roman" w:hAnsi="Times New Roman" w:cs="Times New Roman"/>
          <w:sz w:val="24"/>
          <w:szCs w:val="24"/>
        </w:rPr>
        <w:t>Pembiayaan</w:t>
      </w:r>
      <w:proofErr w:type="spellEnd"/>
      <w:r w:rsidR="00D12B9E" w:rsidRPr="00B14ED8">
        <w:rPr>
          <w:rFonts w:ascii="Times New Roman" w:eastAsia="Times New Roman" w:hAnsi="Times New Roman" w:cs="Times New Roman"/>
          <w:sz w:val="24"/>
          <w:szCs w:val="24"/>
        </w:rPr>
        <w:t xml:space="preserve"> </w:t>
      </w:r>
      <w:proofErr w:type="spellStart"/>
      <w:r w:rsidR="00D12B9E" w:rsidRPr="00B14ED8">
        <w:rPr>
          <w:rFonts w:ascii="Times New Roman" w:eastAsia="Times New Roman" w:hAnsi="Times New Roman" w:cs="Times New Roman"/>
          <w:i/>
          <w:iCs/>
          <w:sz w:val="24"/>
          <w:szCs w:val="24"/>
        </w:rPr>
        <w:t>mudharabah</w:t>
      </w:r>
      <w:proofErr w:type="spellEnd"/>
      <w:r w:rsidR="00D12B9E" w:rsidRPr="00B14ED8">
        <w:rPr>
          <w:rFonts w:ascii="Times New Roman" w:eastAsia="Times New Roman" w:hAnsi="Times New Roman" w:cs="Times New Roman"/>
          <w:sz w:val="24"/>
          <w:szCs w:val="24"/>
        </w:rPr>
        <w:t xml:space="preserve">, </w:t>
      </w:r>
      <w:proofErr w:type="spellStart"/>
      <w:r w:rsidR="00D12B9E" w:rsidRPr="00B14ED8">
        <w:rPr>
          <w:rFonts w:ascii="Times New Roman" w:eastAsia="Times New Roman" w:hAnsi="Times New Roman" w:cs="Times New Roman"/>
          <w:sz w:val="24"/>
          <w:szCs w:val="24"/>
        </w:rPr>
        <w:t>sebagai</w:t>
      </w:r>
      <w:proofErr w:type="spellEnd"/>
      <w:r w:rsidR="00D12B9E" w:rsidRPr="00B14ED8">
        <w:rPr>
          <w:rFonts w:ascii="Times New Roman" w:eastAsia="Times New Roman" w:hAnsi="Times New Roman" w:cs="Times New Roman"/>
          <w:sz w:val="24"/>
          <w:szCs w:val="24"/>
        </w:rPr>
        <w:t xml:space="preserve"> </w:t>
      </w:r>
      <w:proofErr w:type="spellStart"/>
      <w:r w:rsidR="00D12B9E" w:rsidRPr="00B14ED8">
        <w:rPr>
          <w:rFonts w:ascii="Times New Roman" w:eastAsia="Times New Roman" w:hAnsi="Times New Roman" w:cs="Times New Roman"/>
          <w:sz w:val="24"/>
          <w:szCs w:val="24"/>
        </w:rPr>
        <w:t>bentuk</w:t>
      </w:r>
      <w:proofErr w:type="spellEnd"/>
      <w:r w:rsidR="00D12B9E" w:rsidRPr="00B14ED8">
        <w:rPr>
          <w:rFonts w:ascii="Times New Roman" w:eastAsia="Times New Roman" w:hAnsi="Times New Roman" w:cs="Times New Roman"/>
          <w:sz w:val="24"/>
          <w:szCs w:val="24"/>
        </w:rPr>
        <w:t xml:space="preserve"> </w:t>
      </w:r>
      <w:proofErr w:type="spellStart"/>
      <w:r w:rsidR="00D12B9E" w:rsidRPr="00B14ED8">
        <w:rPr>
          <w:rFonts w:ascii="Times New Roman" w:eastAsia="Times New Roman" w:hAnsi="Times New Roman" w:cs="Times New Roman"/>
          <w:sz w:val="24"/>
          <w:szCs w:val="24"/>
        </w:rPr>
        <w:t>kerjasama</w:t>
      </w:r>
      <w:proofErr w:type="spellEnd"/>
      <w:r w:rsidR="00D12B9E" w:rsidRPr="00B14ED8">
        <w:rPr>
          <w:rFonts w:ascii="Times New Roman" w:eastAsia="Times New Roman" w:hAnsi="Times New Roman" w:cs="Times New Roman"/>
          <w:sz w:val="24"/>
          <w:szCs w:val="24"/>
        </w:rPr>
        <w:t xml:space="preserve"> </w:t>
      </w:r>
      <w:proofErr w:type="spellStart"/>
      <w:r w:rsidR="00D12B9E" w:rsidRPr="00B14ED8">
        <w:rPr>
          <w:rFonts w:ascii="Times New Roman" w:eastAsia="Times New Roman" w:hAnsi="Times New Roman" w:cs="Times New Roman"/>
          <w:sz w:val="24"/>
          <w:szCs w:val="24"/>
        </w:rPr>
        <w:t>antara</w:t>
      </w:r>
      <w:proofErr w:type="spellEnd"/>
      <w:r w:rsidR="00D12B9E" w:rsidRPr="00B14ED8">
        <w:rPr>
          <w:rFonts w:ascii="Times New Roman" w:eastAsia="Times New Roman" w:hAnsi="Times New Roman" w:cs="Times New Roman"/>
          <w:sz w:val="24"/>
          <w:szCs w:val="24"/>
        </w:rPr>
        <w:t xml:space="preserve"> </w:t>
      </w:r>
      <w:proofErr w:type="spellStart"/>
      <w:r w:rsidR="00D12B9E" w:rsidRPr="00B14ED8">
        <w:rPr>
          <w:rFonts w:ascii="Times New Roman" w:eastAsia="Times New Roman" w:hAnsi="Times New Roman" w:cs="Times New Roman"/>
          <w:sz w:val="24"/>
          <w:szCs w:val="24"/>
        </w:rPr>
        <w:t>pemberi</w:t>
      </w:r>
      <w:proofErr w:type="spellEnd"/>
      <w:r w:rsidR="00D12B9E" w:rsidRPr="00B14ED8">
        <w:rPr>
          <w:rFonts w:ascii="Times New Roman" w:eastAsia="Times New Roman" w:hAnsi="Times New Roman" w:cs="Times New Roman"/>
          <w:sz w:val="24"/>
          <w:szCs w:val="24"/>
        </w:rPr>
        <w:t xml:space="preserve"> dana dan </w:t>
      </w:r>
      <w:proofErr w:type="spellStart"/>
      <w:r w:rsidR="00D12B9E" w:rsidRPr="00B14ED8">
        <w:rPr>
          <w:rFonts w:ascii="Times New Roman" w:eastAsia="Times New Roman" w:hAnsi="Times New Roman" w:cs="Times New Roman"/>
          <w:sz w:val="24"/>
          <w:szCs w:val="24"/>
        </w:rPr>
        <w:t>pengelola</w:t>
      </w:r>
      <w:proofErr w:type="spellEnd"/>
      <w:r w:rsidR="00D12B9E" w:rsidRPr="00B14ED8">
        <w:rPr>
          <w:rFonts w:ascii="Times New Roman" w:eastAsia="Times New Roman" w:hAnsi="Times New Roman" w:cs="Times New Roman"/>
          <w:sz w:val="24"/>
          <w:szCs w:val="24"/>
        </w:rPr>
        <w:t xml:space="preserve"> </w:t>
      </w:r>
      <w:proofErr w:type="spellStart"/>
      <w:r w:rsidR="00D12B9E" w:rsidRPr="00B14ED8">
        <w:rPr>
          <w:rFonts w:ascii="Times New Roman" w:eastAsia="Times New Roman" w:hAnsi="Times New Roman" w:cs="Times New Roman"/>
          <w:sz w:val="24"/>
          <w:szCs w:val="24"/>
        </w:rPr>
        <w:t>bisnis</w:t>
      </w:r>
      <w:proofErr w:type="spellEnd"/>
      <w:r w:rsidR="00D12B9E" w:rsidRPr="00B14ED8">
        <w:rPr>
          <w:rFonts w:ascii="Times New Roman" w:eastAsia="Times New Roman" w:hAnsi="Times New Roman" w:cs="Times New Roman"/>
          <w:sz w:val="24"/>
          <w:szCs w:val="24"/>
        </w:rPr>
        <w:t xml:space="preserve">, </w:t>
      </w:r>
      <w:proofErr w:type="spellStart"/>
      <w:r w:rsidR="00D12B9E" w:rsidRPr="00B14ED8">
        <w:rPr>
          <w:rFonts w:ascii="Times New Roman" w:eastAsia="Times New Roman" w:hAnsi="Times New Roman" w:cs="Times New Roman"/>
          <w:sz w:val="24"/>
          <w:szCs w:val="24"/>
        </w:rPr>
        <w:t>dapat</w:t>
      </w:r>
      <w:proofErr w:type="spellEnd"/>
      <w:r w:rsidR="00D12B9E" w:rsidRPr="00B14ED8">
        <w:rPr>
          <w:rFonts w:ascii="Times New Roman" w:eastAsia="Times New Roman" w:hAnsi="Times New Roman" w:cs="Times New Roman"/>
          <w:sz w:val="24"/>
          <w:szCs w:val="24"/>
        </w:rPr>
        <w:t xml:space="preserve"> </w:t>
      </w:r>
      <w:proofErr w:type="spellStart"/>
      <w:r w:rsidR="00D12B9E" w:rsidRPr="00B14ED8">
        <w:rPr>
          <w:rFonts w:ascii="Times New Roman" w:eastAsia="Times New Roman" w:hAnsi="Times New Roman" w:cs="Times New Roman"/>
          <w:sz w:val="24"/>
          <w:szCs w:val="24"/>
        </w:rPr>
        <w:t>memiliki</w:t>
      </w:r>
      <w:proofErr w:type="spellEnd"/>
      <w:r w:rsidR="00D12B9E" w:rsidRPr="00B14ED8">
        <w:rPr>
          <w:rFonts w:ascii="Times New Roman" w:eastAsia="Times New Roman" w:hAnsi="Times New Roman" w:cs="Times New Roman"/>
          <w:sz w:val="24"/>
          <w:szCs w:val="24"/>
        </w:rPr>
        <w:t xml:space="preserve"> </w:t>
      </w:r>
      <w:proofErr w:type="spellStart"/>
      <w:r w:rsidR="00D12B9E" w:rsidRPr="00B14ED8">
        <w:rPr>
          <w:rFonts w:ascii="Times New Roman" w:eastAsia="Times New Roman" w:hAnsi="Times New Roman" w:cs="Times New Roman"/>
          <w:sz w:val="24"/>
          <w:szCs w:val="24"/>
        </w:rPr>
        <w:t>risiko</w:t>
      </w:r>
      <w:proofErr w:type="spellEnd"/>
      <w:r w:rsidR="00B35371" w:rsidRPr="00B14ED8">
        <w:rPr>
          <w:rFonts w:ascii="Times New Roman" w:eastAsia="Times New Roman" w:hAnsi="Times New Roman" w:cs="Times New Roman"/>
          <w:sz w:val="24"/>
          <w:szCs w:val="24"/>
        </w:rPr>
        <w:t xml:space="preserve"> </w:t>
      </w:r>
      <w:proofErr w:type="spellStart"/>
      <w:r w:rsidR="00B35371" w:rsidRPr="00B14ED8">
        <w:rPr>
          <w:rFonts w:ascii="Times New Roman" w:eastAsia="Times New Roman" w:hAnsi="Times New Roman" w:cs="Times New Roman"/>
          <w:sz w:val="24"/>
          <w:szCs w:val="24"/>
        </w:rPr>
        <w:t>tinggi</w:t>
      </w:r>
      <w:proofErr w:type="spellEnd"/>
      <w:r w:rsidR="00B35371" w:rsidRPr="00B14ED8">
        <w:rPr>
          <w:rFonts w:ascii="Times New Roman" w:eastAsia="Times New Roman" w:hAnsi="Times New Roman" w:cs="Times New Roman"/>
          <w:sz w:val="24"/>
          <w:szCs w:val="24"/>
        </w:rPr>
        <w:t xml:space="preserve"> di </w:t>
      </w:r>
      <w:proofErr w:type="spellStart"/>
      <w:r w:rsidR="00B35371" w:rsidRPr="00B14ED8">
        <w:rPr>
          <w:rFonts w:ascii="Times New Roman" w:eastAsia="Times New Roman" w:hAnsi="Times New Roman" w:cs="Times New Roman"/>
          <w:sz w:val="24"/>
          <w:szCs w:val="24"/>
        </w:rPr>
        <w:t>dalam</w:t>
      </w:r>
      <w:proofErr w:type="spellEnd"/>
      <w:r w:rsidR="00B35371" w:rsidRPr="00B14ED8">
        <w:rPr>
          <w:rFonts w:ascii="Times New Roman" w:eastAsia="Times New Roman" w:hAnsi="Times New Roman" w:cs="Times New Roman"/>
          <w:sz w:val="24"/>
          <w:szCs w:val="24"/>
        </w:rPr>
        <w:t xml:space="preserve"> </w:t>
      </w:r>
      <w:proofErr w:type="spellStart"/>
      <w:r w:rsidR="00B35371" w:rsidRPr="00B14ED8">
        <w:rPr>
          <w:rFonts w:ascii="Times New Roman" w:eastAsia="Times New Roman" w:hAnsi="Times New Roman" w:cs="Times New Roman"/>
          <w:sz w:val="24"/>
          <w:szCs w:val="24"/>
        </w:rPr>
        <w:t>realisasinya</w:t>
      </w:r>
      <w:proofErr w:type="spellEnd"/>
      <w:r w:rsidR="001F061E" w:rsidRPr="00B14ED8">
        <w:rPr>
          <w:rFonts w:ascii="Times New Roman" w:eastAsia="Times New Roman" w:hAnsi="Times New Roman" w:cs="Times New Roman"/>
          <w:sz w:val="24"/>
          <w:szCs w:val="24"/>
        </w:rPr>
        <w:t xml:space="preserve"> (</w:t>
      </w:r>
      <w:proofErr w:type="spellStart"/>
      <w:r w:rsidR="001F061E" w:rsidRPr="00B14ED8">
        <w:rPr>
          <w:rFonts w:ascii="Times New Roman" w:eastAsia="Times New Roman" w:hAnsi="Times New Roman" w:cs="Times New Roman"/>
          <w:sz w:val="24"/>
          <w:szCs w:val="24"/>
        </w:rPr>
        <w:fldChar w:fldCharType="begin" w:fldLock="1"/>
      </w:r>
      <w:r w:rsidR="00E211CC" w:rsidRPr="00B14ED8">
        <w:rPr>
          <w:rFonts w:ascii="Times New Roman" w:eastAsia="Times New Roman" w:hAnsi="Times New Roman" w:cs="Times New Roman"/>
          <w:sz w:val="24"/>
          <w:szCs w:val="24"/>
        </w:rPr>
        <w:instrText>ADDIN CSL_CITATION {"citationItems":[{"id":"ITEM-1","itemData":{"DOI":"10.1108/JIABR-10-2018-0157","ISSN":"17590825","abstract":"Purpose: The purpose of this paper is to empirically assess the impact of the principle of profit- and loss-sharing (PLS) on the exposure to liquidity risk of Islamic banks in Gulf Corporation Council (GCC) countries. The Islamic bank activity is distinguished by a PLS principle, which is likely to involve specificities in the bank liquidity issue. Design/methodology/approach: This paper investigates the determinants of Islamic bank liquidity over the period 2005–2016 using a panel of 23 Islamic banks in GCC. The system of generalized method of moment estimators is applied. Findings: The findings reveal that while profit-sharing investment accounts (PSIAs) are inversely proportional to Islamic bank liquidity, the PLS investment does not seem to act as a determinant of the bank liquidity. The fact that PSIAs are globally short-run accounts, but finance long-run projects leads to a substantial maturity mismatches, which limits the availability of liquidity buffer and exacerbates the bank’s exposure to liquidity risk. Moreover, capital adequacy ratio has significant and positive association with bank liquidity, as a strong capital ratio helps to strengthen the liquidity control. However, return on assets has a negative significant impact on bank liquidity. For instance, if the bank holds more cash, it deprives itself from placing funds and earning returns, which causes its profitability to decline. Practical implications: This paper gives further insights to better improve the liquidity risk management in a context of scarcity of Shariah-compliant instruments. Islamic bank needs to determine the PLS purpose and goals to be consistent with the “bank’s financing policy” and convince its depositors to use their deposits for medium and long-run investments. Originality/value: Unlike previous empirical research, this investigation tries to better grasp the Islamic bank liquidity issue by focusing on the PLS impact on liquidity risk. It aims to fill in the gap in the empirical literature on this topic.","author":[{"dropping-particle":"Ben","family":"Jedidia","given":"Khoutem","non-dropping-particle":"","parse-names":false,"suffix":""}],"container-title":"Journal of Islamic Accounting and Business Research","id":"ITEM-1","issue":"9","issued":{"date-parts":[["2020"]]},"page":"1791-1806","title":"Profit- and loss-sharing impact on Islamic bank liquidity in GCC countries","type":"article-journal","volume":"11"},"uris":["http://www.mendeley.com/documents/?uuid=0d37ca26-dd0d-443e-92ec-15758abb1ed7"]}],"mendeley":{"formattedCitation":"(Jedidia, 2020)","manualFormatting":"Jedidia, 2020)","plainTextFormattedCitation":"(Jedidia, 2020)","previouslyFormattedCitation":"(Jedidia, 2020)"},"properties":{"noteIndex":0},"schema":"https://github.com/citation-style-language/schema/raw/master/csl-citation.json"}</w:instrText>
      </w:r>
      <w:r w:rsidR="001F061E" w:rsidRPr="00B14ED8">
        <w:rPr>
          <w:rFonts w:ascii="Times New Roman" w:eastAsia="Times New Roman" w:hAnsi="Times New Roman" w:cs="Times New Roman"/>
          <w:sz w:val="24"/>
          <w:szCs w:val="24"/>
        </w:rPr>
        <w:fldChar w:fldCharType="separate"/>
      </w:r>
      <w:r w:rsidR="001F061E" w:rsidRPr="00B14ED8">
        <w:rPr>
          <w:rFonts w:ascii="Times New Roman" w:eastAsia="Times New Roman" w:hAnsi="Times New Roman" w:cs="Times New Roman"/>
          <w:noProof/>
          <w:sz w:val="24"/>
          <w:szCs w:val="24"/>
        </w:rPr>
        <w:t>Jedidia</w:t>
      </w:r>
      <w:proofErr w:type="spellEnd"/>
      <w:r w:rsidR="001F061E" w:rsidRPr="00B14ED8">
        <w:rPr>
          <w:rFonts w:ascii="Times New Roman" w:eastAsia="Times New Roman" w:hAnsi="Times New Roman" w:cs="Times New Roman"/>
          <w:noProof/>
          <w:sz w:val="24"/>
          <w:szCs w:val="24"/>
        </w:rPr>
        <w:t>, 2020)</w:t>
      </w:r>
      <w:r w:rsidR="001F061E" w:rsidRPr="00B14ED8">
        <w:rPr>
          <w:rFonts w:ascii="Times New Roman" w:eastAsia="Times New Roman" w:hAnsi="Times New Roman" w:cs="Times New Roman"/>
          <w:sz w:val="24"/>
          <w:szCs w:val="24"/>
        </w:rPr>
        <w:fldChar w:fldCharType="end"/>
      </w:r>
      <w:r w:rsidR="00B35371" w:rsidRPr="00B14ED8">
        <w:rPr>
          <w:rFonts w:ascii="Times New Roman" w:eastAsia="Times New Roman" w:hAnsi="Times New Roman" w:cs="Times New Roman"/>
          <w:sz w:val="24"/>
          <w:szCs w:val="24"/>
        </w:rPr>
        <w:t xml:space="preserve">. </w:t>
      </w:r>
      <w:proofErr w:type="spellStart"/>
      <w:r w:rsidR="003A74F5" w:rsidRPr="00B14ED8">
        <w:rPr>
          <w:rFonts w:ascii="Times New Roman" w:eastAsia="Times New Roman" w:hAnsi="Times New Roman" w:cs="Times New Roman"/>
          <w:sz w:val="24"/>
          <w:szCs w:val="24"/>
        </w:rPr>
        <w:t>Bisnis</w:t>
      </w:r>
      <w:proofErr w:type="spellEnd"/>
      <w:r w:rsidR="003A74F5" w:rsidRPr="00B14ED8">
        <w:rPr>
          <w:rFonts w:ascii="Times New Roman" w:eastAsia="Times New Roman" w:hAnsi="Times New Roman" w:cs="Times New Roman"/>
          <w:sz w:val="24"/>
          <w:szCs w:val="24"/>
        </w:rPr>
        <w:t xml:space="preserve"> yang </w:t>
      </w:r>
      <w:proofErr w:type="spellStart"/>
      <w:r w:rsidR="003A74F5" w:rsidRPr="00B14ED8">
        <w:rPr>
          <w:rFonts w:ascii="Times New Roman" w:eastAsia="Times New Roman" w:hAnsi="Times New Roman" w:cs="Times New Roman"/>
          <w:sz w:val="24"/>
          <w:szCs w:val="24"/>
        </w:rPr>
        <w:t>dibiayai</w:t>
      </w:r>
      <w:proofErr w:type="spellEnd"/>
      <w:r w:rsidR="003A74F5" w:rsidRPr="00B14ED8">
        <w:rPr>
          <w:rFonts w:ascii="Times New Roman" w:eastAsia="Times New Roman" w:hAnsi="Times New Roman" w:cs="Times New Roman"/>
          <w:sz w:val="24"/>
          <w:szCs w:val="24"/>
        </w:rPr>
        <w:t xml:space="preserve"> </w:t>
      </w:r>
      <w:proofErr w:type="spellStart"/>
      <w:r w:rsidR="003A74F5" w:rsidRPr="00B14ED8">
        <w:rPr>
          <w:rFonts w:ascii="Times New Roman" w:eastAsia="Times New Roman" w:hAnsi="Times New Roman" w:cs="Times New Roman"/>
          <w:sz w:val="24"/>
          <w:szCs w:val="24"/>
        </w:rPr>
        <w:t>dengan</w:t>
      </w:r>
      <w:proofErr w:type="spellEnd"/>
      <w:r w:rsidR="003A74F5" w:rsidRPr="00B14ED8">
        <w:rPr>
          <w:rFonts w:ascii="Times New Roman" w:eastAsia="Times New Roman" w:hAnsi="Times New Roman" w:cs="Times New Roman"/>
          <w:sz w:val="24"/>
          <w:szCs w:val="24"/>
        </w:rPr>
        <w:t xml:space="preserve"> </w:t>
      </w:r>
      <w:proofErr w:type="spellStart"/>
      <w:r w:rsidR="005161E9" w:rsidRPr="00B14ED8">
        <w:rPr>
          <w:rFonts w:ascii="Times New Roman" w:eastAsia="Times New Roman" w:hAnsi="Times New Roman" w:cs="Times New Roman"/>
          <w:sz w:val="24"/>
          <w:szCs w:val="24"/>
        </w:rPr>
        <w:t>sistem</w:t>
      </w:r>
      <w:proofErr w:type="spellEnd"/>
      <w:r w:rsidR="005161E9" w:rsidRPr="00B14ED8">
        <w:rPr>
          <w:rFonts w:ascii="Times New Roman" w:eastAsia="Times New Roman" w:hAnsi="Times New Roman" w:cs="Times New Roman"/>
          <w:sz w:val="24"/>
          <w:szCs w:val="24"/>
        </w:rPr>
        <w:t xml:space="preserve"> </w:t>
      </w:r>
      <w:proofErr w:type="spellStart"/>
      <w:r w:rsidR="005161E9" w:rsidRPr="00B14ED8">
        <w:rPr>
          <w:rFonts w:ascii="Times New Roman" w:eastAsia="Times New Roman" w:hAnsi="Times New Roman" w:cs="Times New Roman"/>
          <w:sz w:val="24"/>
          <w:szCs w:val="24"/>
        </w:rPr>
        <w:t>ini</w:t>
      </w:r>
      <w:proofErr w:type="spellEnd"/>
      <w:r w:rsidR="00D447FE" w:rsidRPr="00B14ED8">
        <w:rPr>
          <w:rFonts w:ascii="Times New Roman" w:eastAsia="Times New Roman" w:hAnsi="Times New Roman" w:cs="Times New Roman"/>
          <w:sz w:val="24"/>
          <w:szCs w:val="24"/>
        </w:rPr>
        <w:t xml:space="preserve"> </w:t>
      </w:r>
      <w:proofErr w:type="spellStart"/>
      <w:r w:rsidR="00D447FE" w:rsidRPr="00B14ED8">
        <w:rPr>
          <w:rFonts w:ascii="Times New Roman" w:eastAsia="Times New Roman" w:hAnsi="Times New Roman" w:cs="Times New Roman"/>
          <w:sz w:val="24"/>
          <w:szCs w:val="24"/>
        </w:rPr>
        <w:t>cenderung</w:t>
      </w:r>
      <w:proofErr w:type="spellEnd"/>
      <w:r w:rsidR="003A74F5" w:rsidRPr="00B14ED8">
        <w:rPr>
          <w:rFonts w:ascii="Times New Roman" w:eastAsia="Times New Roman" w:hAnsi="Times New Roman" w:cs="Times New Roman"/>
          <w:sz w:val="24"/>
          <w:szCs w:val="24"/>
        </w:rPr>
        <w:t xml:space="preserve"> </w:t>
      </w:r>
      <w:proofErr w:type="spellStart"/>
      <w:r w:rsidR="003A74F5" w:rsidRPr="00B14ED8">
        <w:rPr>
          <w:rFonts w:ascii="Times New Roman" w:eastAsia="Times New Roman" w:hAnsi="Times New Roman" w:cs="Times New Roman"/>
          <w:sz w:val="24"/>
          <w:szCs w:val="24"/>
        </w:rPr>
        <w:t>lebih</w:t>
      </w:r>
      <w:proofErr w:type="spellEnd"/>
      <w:r w:rsidR="003A74F5" w:rsidRPr="00B14ED8">
        <w:rPr>
          <w:rFonts w:ascii="Times New Roman" w:eastAsia="Times New Roman" w:hAnsi="Times New Roman" w:cs="Times New Roman"/>
          <w:sz w:val="24"/>
          <w:szCs w:val="24"/>
        </w:rPr>
        <w:t xml:space="preserve"> </w:t>
      </w:r>
      <w:proofErr w:type="spellStart"/>
      <w:r w:rsidR="003A74F5" w:rsidRPr="00B14ED8">
        <w:rPr>
          <w:rFonts w:ascii="Times New Roman" w:eastAsia="Times New Roman" w:hAnsi="Times New Roman" w:cs="Times New Roman"/>
          <w:sz w:val="24"/>
          <w:szCs w:val="24"/>
        </w:rPr>
        <w:t>rentan</w:t>
      </w:r>
      <w:proofErr w:type="spellEnd"/>
      <w:r w:rsidR="003A74F5" w:rsidRPr="00B14ED8">
        <w:rPr>
          <w:rFonts w:ascii="Times New Roman" w:eastAsia="Times New Roman" w:hAnsi="Times New Roman" w:cs="Times New Roman"/>
          <w:sz w:val="24"/>
          <w:szCs w:val="24"/>
        </w:rPr>
        <w:t xml:space="preserve"> </w:t>
      </w:r>
      <w:proofErr w:type="spellStart"/>
      <w:r w:rsidR="003A74F5" w:rsidRPr="00B14ED8">
        <w:rPr>
          <w:rFonts w:ascii="Times New Roman" w:eastAsia="Times New Roman" w:hAnsi="Times New Roman" w:cs="Times New Roman"/>
          <w:sz w:val="24"/>
          <w:szCs w:val="24"/>
        </w:rPr>
        <w:t>terhadap</w:t>
      </w:r>
      <w:proofErr w:type="spellEnd"/>
      <w:r w:rsidR="003A74F5" w:rsidRPr="00B14ED8">
        <w:rPr>
          <w:rFonts w:ascii="Times New Roman" w:eastAsia="Times New Roman" w:hAnsi="Times New Roman" w:cs="Times New Roman"/>
          <w:sz w:val="24"/>
          <w:szCs w:val="24"/>
        </w:rPr>
        <w:t xml:space="preserve"> </w:t>
      </w:r>
      <w:proofErr w:type="spellStart"/>
      <w:r w:rsidR="003A74F5" w:rsidRPr="00B14ED8">
        <w:rPr>
          <w:rFonts w:ascii="Times New Roman" w:eastAsia="Times New Roman" w:hAnsi="Times New Roman" w:cs="Times New Roman"/>
          <w:sz w:val="24"/>
          <w:szCs w:val="24"/>
        </w:rPr>
        <w:t>fluktuasi</w:t>
      </w:r>
      <w:proofErr w:type="spellEnd"/>
      <w:r w:rsidR="003A74F5" w:rsidRPr="00B14ED8">
        <w:rPr>
          <w:rFonts w:ascii="Times New Roman" w:eastAsia="Times New Roman" w:hAnsi="Times New Roman" w:cs="Times New Roman"/>
          <w:sz w:val="24"/>
          <w:szCs w:val="24"/>
        </w:rPr>
        <w:t xml:space="preserve"> pasar</w:t>
      </w:r>
      <w:r w:rsidR="00D447FE" w:rsidRPr="00B14ED8">
        <w:rPr>
          <w:rFonts w:ascii="Times New Roman" w:eastAsia="Times New Roman" w:hAnsi="Times New Roman" w:cs="Times New Roman"/>
          <w:sz w:val="24"/>
          <w:szCs w:val="24"/>
        </w:rPr>
        <w:t xml:space="preserve"> </w:t>
      </w:r>
      <w:proofErr w:type="spellStart"/>
      <w:r w:rsidR="00D447FE" w:rsidRPr="00B14ED8">
        <w:rPr>
          <w:rFonts w:ascii="Times New Roman" w:eastAsia="Times New Roman" w:hAnsi="Times New Roman" w:cs="Times New Roman"/>
          <w:sz w:val="24"/>
          <w:szCs w:val="24"/>
        </w:rPr>
        <w:t>maupun</w:t>
      </w:r>
      <w:proofErr w:type="spellEnd"/>
      <w:r w:rsidR="003A74F5" w:rsidRPr="00B14ED8">
        <w:rPr>
          <w:rFonts w:ascii="Times New Roman" w:eastAsia="Times New Roman" w:hAnsi="Times New Roman" w:cs="Times New Roman"/>
          <w:sz w:val="24"/>
          <w:szCs w:val="24"/>
        </w:rPr>
        <w:t xml:space="preserve"> </w:t>
      </w:r>
      <w:proofErr w:type="spellStart"/>
      <w:r w:rsidR="003A74F5" w:rsidRPr="00B14ED8">
        <w:rPr>
          <w:rFonts w:ascii="Times New Roman" w:eastAsia="Times New Roman" w:hAnsi="Times New Roman" w:cs="Times New Roman"/>
          <w:sz w:val="24"/>
          <w:szCs w:val="24"/>
        </w:rPr>
        <w:t>ketidakpastian</w:t>
      </w:r>
      <w:proofErr w:type="spellEnd"/>
      <w:r w:rsidR="003A74F5" w:rsidRPr="00B14ED8">
        <w:rPr>
          <w:rFonts w:ascii="Times New Roman" w:eastAsia="Times New Roman" w:hAnsi="Times New Roman" w:cs="Times New Roman"/>
          <w:sz w:val="24"/>
          <w:szCs w:val="24"/>
        </w:rPr>
        <w:t xml:space="preserve"> </w:t>
      </w:r>
      <w:proofErr w:type="spellStart"/>
      <w:r w:rsidR="003A74F5" w:rsidRPr="00B14ED8">
        <w:rPr>
          <w:rFonts w:ascii="Times New Roman" w:eastAsia="Times New Roman" w:hAnsi="Times New Roman" w:cs="Times New Roman"/>
          <w:sz w:val="24"/>
          <w:szCs w:val="24"/>
        </w:rPr>
        <w:t>ekonomi</w:t>
      </w:r>
      <w:proofErr w:type="spellEnd"/>
      <w:r w:rsidR="003A74F5" w:rsidRPr="00B14ED8">
        <w:rPr>
          <w:rFonts w:ascii="Times New Roman" w:eastAsia="Times New Roman" w:hAnsi="Times New Roman" w:cs="Times New Roman"/>
          <w:sz w:val="24"/>
          <w:szCs w:val="24"/>
        </w:rPr>
        <w:t xml:space="preserve">. </w:t>
      </w:r>
      <w:proofErr w:type="spellStart"/>
      <w:r w:rsidR="003A74F5" w:rsidRPr="00B14ED8">
        <w:rPr>
          <w:rFonts w:ascii="Times New Roman" w:eastAsia="Times New Roman" w:hAnsi="Times New Roman" w:cs="Times New Roman"/>
          <w:sz w:val="24"/>
          <w:szCs w:val="24"/>
        </w:rPr>
        <w:t>Manajemen</w:t>
      </w:r>
      <w:proofErr w:type="spellEnd"/>
      <w:r w:rsidR="003A74F5" w:rsidRPr="00B14ED8">
        <w:rPr>
          <w:rFonts w:ascii="Times New Roman" w:eastAsia="Times New Roman" w:hAnsi="Times New Roman" w:cs="Times New Roman"/>
          <w:sz w:val="24"/>
          <w:szCs w:val="24"/>
        </w:rPr>
        <w:t xml:space="preserve"> </w:t>
      </w:r>
      <w:proofErr w:type="spellStart"/>
      <w:r w:rsidR="003A74F5" w:rsidRPr="00B14ED8">
        <w:rPr>
          <w:rFonts w:ascii="Times New Roman" w:eastAsia="Times New Roman" w:hAnsi="Times New Roman" w:cs="Times New Roman"/>
          <w:sz w:val="24"/>
          <w:szCs w:val="24"/>
        </w:rPr>
        <w:t>risiko</w:t>
      </w:r>
      <w:proofErr w:type="spellEnd"/>
      <w:r w:rsidR="008870A2" w:rsidRPr="00B14ED8">
        <w:rPr>
          <w:rFonts w:ascii="Times New Roman" w:eastAsia="Times New Roman" w:hAnsi="Times New Roman" w:cs="Times New Roman"/>
          <w:sz w:val="24"/>
          <w:szCs w:val="24"/>
        </w:rPr>
        <w:t xml:space="preserve"> </w:t>
      </w:r>
      <w:proofErr w:type="spellStart"/>
      <w:r w:rsidR="008870A2" w:rsidRPr="00B14ED8">
        <w:rPr>
          <w:rFonts w:ascii="Times New Roman" w:eastAsia="Times New Roman" w:hAnsi="Times New Roman" w:cs="Times New Roman"/>
          <w:sz w:val="24"/>
          <w:szCs w:val="24"/>
        </w:rPr>
        <w:t>dalam</w:t>
      </w:r>
      <w:proofErr w:type="spellEnd"/>
      <w:r w:rsidR="008870A2" w:rsidRPr="00B14ED8">
        <w:rPr>
          <w:rFonts w:ascii="Times New Roman" w:eastAsia="Times New Roman" w:hAnsi="Times New Roman" w:cs="Times New Roman"/>
          <w:sz w:val="24"/>
          <w:szCs w:val="24"/>
        </w:rPr>
        <w:t xml:space="preserve"> </w:t>
      </w:r>
      <w:proofErr w:type="spellStart"/>
      <w:r w:rsidR="008870A2" w:rsidRPr="00B14ED8">
        <w:rPr>
          <w:rFonts w:ascii="Times New Roman" w:eastAsia="Times New Roman" w:hAnsi="Times New Roman" w:cs="Times New Roman"/>
          <w:sz w:val="24"/>
          <w:szCs w:val="24"/>
        </w:rPr>
        <w:t>hal</w:t>
      </w:r>
      <w:proofErr w:type="spellEnd"/>
      <w:r w:rsidR="008870A2" w:rsidRPr="00B14ED8">
        <w:rPr>
          <w:rFonts w:ascii="Times New Roman" w:eastAsia="Times New Roman" w:hAnsi="Times New Roman" w:cs="Times New Roman"/>
          <w:sz w:val="24"/>
          <w:szCs w:val="24"/>
        </w:rPr>
        <w:t xml:space="preserve"> </w:t>
      </w:r>
      <w:proofErr w:type="spellStart"/>
      <w:r w:rsidR="008870A2" w:rsidRPr="00B14ED8">
        <w:rPr>
          <w:rFonts w:ascii="Times New Roman" w:eastAsia="Times New Roman" w:hAnsi="Times New Roman" w:cs="Times New Roman"/>
          <w:sz w:val="24"/>
          <w:szCs w:val="24"/>
        </w:rPr>
        <w:t>ini</w:t>
      </w:r>
      <w:proofErr w:type="spellEnd"/>
      <w:r w:rsidR="008870A2" w:rsidRPr="00B14ED8">
        <w:rPr>
          <w:rFonts w:ascii="Times New Roman" w:eastAsia="Times New Roman" w:hAnsi="Times New Roman" w:cs="Times New Roman"/>
          <w:sz w:val="24"/>
          <w:szCs w:val="24"/>
        </w:rPr>
        <w:t xml:space="preserve"> </w:t>
      </w:r>
      <w:proofErr w:type="spellStart"/>
      <w:r w:rsidR="00744082" w:rsidRPr="00B14ED8">
        <w:rPr>
          <w:rFonts w:ascii="Times New Roman" w:eastAsia="Times New Roman" w:hAnsi="Times New Roman" w:cs="Times New Roman"/>
          <w:sz w:val="24"/>
          <w:szCs w:val="24"/>
        </w:rPr>
        <w:t>melakukan</w:t>
      </w:r>
      <w:proofErr w:type="spellEnd"/>
      <w:r w:rsidR="00744082" w:rsidRPr="00B14ED8">
        <w:rPr>
          <w:rFonts w:ascii="Times New Roman" w:eastAsia="Times New Roman" w:hAnsi="Times New Roman" w:cs="Times New Roman"/>
          <w:sz w:val="24"/>
          <w:szCs w:val="24"/>
        </w:rPr>
        <w:t xml:space="preserve"> </w:t>
      </w:r>
      <w:proofErr w:type="spellStart"/>
      <w:r w:rsidR="003A74F5" w:rsidRPr="00B14ED8">
        <w:rPr>
          <w:rFonts w:ascii="Times New Roman" w:eastAsia="Times New Roman" w:hAnsi="Times New Roman" w:cs="Times New Roman"/>
          <w:sz w:val="24"/>
          <w:szCs w:val="24"/>
        </w:rPr>
        <w:t>identifikasi</w:t>
      </w:r>
      <w:proofErr w:type="spellEnd"/>
      <w:r w:rsidR="003A74F5" w:rsidRPr="00B14ED8">
        <w:rPr>
          <w:rFonts w:ascii="Times New Roman" w:eastAsia="Times New Roman" w:hAnsi="Times New Roman" w:cs="Times New Roman"/>
          <w:sz w:val="24"/>
          <w:szCs w:val="24"/>
        </w:rPr>
        <w:t xml:space="preserve">, </w:t>
      </w:r>
      <w:proofErr w:type="spellStart"/>
      <w:r w:rsidR="002737FB" w:rsidRPr="00B14ED8">
        <w:rPr>
          <w:rFonts w:ascii="Times New Roman" w:eastAsia="Times New Roman" w:hAnsi="Times New Roman" w:cs="Times New Roman"/>
          <w:sz w:val="24"/>
          <w:szCs w:val="24"/>
        </w:rPr>
        <w:t>pengukuran</w:t>
      </w:r>
      <w:proofErr w:type="spellEnd"/>
      <w:r w:rsidR="002737FB" w:rsidRPr="00B14ED8">
        <w:rPr>
          <w:rFonts w:ascii="Times New Roman" w:eastAsia="Times New Roman" w:hAnsi="Times New Roman" w:cs="Times New Roman"/>
          <w:sz w:val="24"/>
          <w:szCs w:val="24"/>
        </w:rPr>
        <w:t xml:space="preserve"> </w:t>
      </w:r>
      <w:proofErr w:type="spellStart"/>
      <w:r w:rsidR="002737FB" w:rsidRPr="00B14ED8">
        <w:rPr>
          <w:rFonts w:ascii="Times New Roman" w:eastAsia="Times New Roman" w:hAnsi="Times New Roman" w:cs="Times New Roman"/>
          <w:sz w:val="24"/>
          <w:szCs w:val="24"/>
        </w:rPr>
        <w:t>serta</w:t>
      </w:r>
      <w:proofErr w:type="spellEnd"/>
      <w:r w:rsidR="002737FB" w:rsidRPr="00B14ED8">
        <w:rPr>
          <w:rFonts w:ascii="Times New Roman" w:eastAsia="Times New Roman" w:hAnsi="Times New Roman" w:cs="Times New Roman"/>
          <w:sz w:val="24"/>
          <w:szCs w:val="24"/>
        </w:rPr>
        <w:t xml:space="preserve"> </w:t>
      </w:r>
      <w:proofErr w:type="spellStart"/>
      <w:r w:rsidR="00B53B90" w:rsidRPr="00B14ED8">
        <w:rPr>
          <w:rFonts w:ascii="Times New Roman" w:eastAsia="Times New Roman" w:hAnsi="Times New Roman" w:cs="Times New Roman"/>
          <w:sz w:val="24"/>
          <w:szCs w:val="24"/>
        </w:rPr>
        <w:t>pencegahan</w:t>
      </w:r>
      <w:proofErr w:type="spellEnd"/>
      <w:r w:rsidR="00B53B90" w:rsidRPr="00B14ED8">
        <w:rPr>
          <w:rFonts w:ascii="Times New Roman" w:eastAsia="Times New Roman" w:hAnsi="Times New Roman" w:cs="Times New Roman"/>
          <w:sz w:val="24"/>
          <w:szCs w:val="24"/>
        </w:rPr>
        <w:t xml:space="preserve"> </w:t>
      </w:r>
      <w:proofErr w:type="spellStart"/>
      <w:r w:rsidR="00B53B90" w:rsidRPr="00B14ED8">
        <w:rPr>
          <w:rFonts w:ascii="Times New Roman" w:eastAsia="Times New Roman" w:hAnsi="Times New Roman" w:cs="Times New Roman"/>
          <w:sz w:val="24"/>
          <w:szCs w:val="24"/>
        </w:rPr>
        <w:t>atas</w:t>
      </w:r>
      <w:proofErr w:type="spellEnd"/>
      <w:r w:rsidR="00B53B90" w:rsidRPr="00B14ED8">
        <w:rPr>
          <w:rFonts w:ascii="Times New Roman" w:eastAsia="Times New Roman" w:hAnsi="Times New Roman" w:cs="Times New Roman"/>
          <w:sz w:val="24"/>
          <w:szCs w:val="24"/>
        </w:rPr>
        <w:t xml:space="preserve"> </w:t>
      </w:r>
      <w:proofErr w:type="spellStart"/>
      <w:r w:rsidR="00B53B90" w:rsidRPr="00B14ED8">
        <w:rPr>
          <w:rFonts w:ascii="Times New Roman" w:eastAsia="Times New Roman" w:hAnsi="Times New Roman" w:cs="Times New Roman"/>
          <w:sz w:val="24"/>
          <w:szCs w:val="24"/>
        </w:rPr>
        <w:t>tindakan</w:t>
      </w:r>
      <w:proofErr w:type="spellEnd"/>
      <w:r w:rsidR="00B53B90" w:rsidRPr="00B14ED8">
        <w:rPr>
          <w:rFonts w:ascii="Times New Roman" w:eastAsia="Times New Roman" w:hAnsi="Times New Roman" w:cs="Times New Roman"/>
          <w:sz w:val="24"/>
          <w:szCs w:val="24"/>
        </w:rPr>
        <w:t xml:space="preserve"> – </w:t>
      </w:r>
      <w:proofErr w:type="spellStart"/>
      <w:r w:rsidR="00B53B90" w:rsidRPr="00B14ED8">
        <w:rPr>
          <w:rFonts w:ascii="Times New Roman" w:eastAsia="Times New Roman" w:hAnsi="Times New Roman" w:cs="Times New Roman"/>
          <w:sz w:val="24"/>
          <w:szCs w:val="24"/>
        </w:rPr>
        <w:t>tindakan</w:t>
      </w:r>
      <w:proofErr w:type="spellEnd"/>
      <w:r w:rsidR="00B53B90" w:rsidRPr="00B14ED8">
        <w:rPr>
          <w:rFonts w:ascii="Times New Roman" w:eastAsia="Times New Roman" w:hAnsi="Times New Roman" w:cs="Times New Roman"/>
          <w:sz w:val="24"/>
          <w:szCs w:val="24"/>
        </w:rPr>
        <w:t xml:space="preserve"> di </w:t>
      </w:r>
      <w:proofErr w:type="spellStart"/>
      <w:r w:rsidR="00B53B90" w:rsidRPr="00B14ED8">
        <w:rPr>
          <w:rFonts w:ascii="Times New Roman" w:eastAsia="Times New Roman" w:hAnsi="Times New Roman" w:cs="Times New Roman"/>
          <w:sz w:val="24"/>
          <w:szCs w:val="24"/>
        </w:rPr>
        <w:t>dalam</w:t>
      </w:r>
      <w:proofErr w:type="spellEnd"/>
      <w:r w:rsidR="00B53B90" w:rsidRPr="00B14ED8">
        <w:rPr>
          <w:rFonts w:ascii="Times New Roman" w:eastAsia="Times New Roman" w:hAnsi="Times New Roman" w:cs="Times New Roman"/>
          <w:sz w:val="24"/>
          <w:szCs w:val="24"/>
        </w:rPr>
        <w:t xml:space="preserve"> </w:t>
      </w:r>
      <w:proofErr w:type="spellStart"/>
      <w:r w:rsidR="00B53B90" w:rsidRPr="00B14ED8">
        <w:rPr>
          <w:rFonts w:ascii="Times New Roman" w:eastAsia="Times New Roman" w:hAnsi="Times New Roman" w:cs="Times New Roman"/>
          <w:sz w:val="24"/>
          <w:szCs w:val="24"/>
        </w:rPr>
        <w:t>pembiayaan</w:t>
      </w:r>
      <w:proofErr w:type="spellEnd"/>
      <w:r w:rsidR="00B53B90" w:rsidRPr="00B14ED8">
        <w:rPr>
          <w:rFonts w:ascii="Times New Roman" w:eastAsia="Times New Roman" w:hAnsi="Times New Roman" w:cs="Times New Roman"/>
          <w:sz w:val="24"/>
          <w:szCs w:val="24"/>
        </w:rPr>
        <w:t xml:space="preserve"> </w:t>
      </w:r>
      <w:proofErr w:type="spellStart"/>
      <w:r w:rsidR="00B53B90" w:rsidRPr="00B14ED8">
        <w:rPr>
          <w:rFonts w:ascii="Times New Roman" w:eastAsia="Times New Roman" w:hAnsi="Times New Roman" w:cs="Times New Roman"/>
          <w:i/>
          <w:iCs/>
          <w:sz w:val="24"/>
          <w:szCs w:val="24"/>
        </w:rPr>
        <w:t>mudharabah</w:t>
      </w:r>
      <w:proofErr w:type="spellEnd"/>
      <w:r w:rsidR="00B53B90" w:rsidRPr="00B14ED8">
        <w:rPr>
          <w:rFonts w:ascii="Times New Roman" w:eastAsia="Times New Roman" w:hAnsi="Times New Roman" w:cs="Times New Roman"/>
          <w:i/>
          <w:iCs/>
          <w:sz w:val="24"/>
          <w:szCs w:val="24"/>
        </w:rPr>
        <w:t xml:space="preserve"> </w:t>
      </w:r>
      <w:r w:rsidR="00B53B90" w:rsidRPr="00B14ED8">
        <w:rPr>
          <w:rFonts w:ascii="Times New Roman" w:eastAsia="Times New Roman" w:hAnsi="Times New Roman" w:cs="Times New Roman"/>
          <w:sz w:val="24"/>
          <w:szCs w:val="24"/>
        </w:rPr>
        <w:t xml:space="preserve">yang </w:t>
      </w:r>
      <w:proofErr w:type="spellStart"/>
      <w:r w:rsidR="00B53B90" w:rsidRPr="00B14ED8">
        <w:rPr>
          <w:rFonts w:ascii="Times New Roman" w:eastAsia="Times New Roman" w:hAnsi="Times New Roman" w:cs="Times New Roman"/>
          <w:sz w:val="24"/>
          <w:szCs w:val="24"/>
        </w:rPr>
        <w:t>dapat</w:t>
      </w:r>
      <w:proofErr w:type="spellEnd"/>
      <w:r w:rsidR="00B53B90" w:rsidRPr="00B14ED8">
        <w:rPr>
          <w:rFonts w:ascii="Times New Roman" w:eastAsia="Times New Roman" w:hAnsi="Times New Roman" w:cs="Times New Roman"/>
          <w:sz w:val="24"/>
          <w:szCs w:val="24"/>
        </w:rPr>
        <w:t xml:space="preserve"> </w:t>
      </w:r>
      <w:proofErr w:type="spellStart"/>
      <w:r w:rsidR="00B53B90" w:rsidRPr="00B14ED8">
        <w:rPr>
          <w:rFonts w:ascii="Times New Roman" w:eastAsia="Times New Roman" w:hAnsi="Times New Roman" w:cs="Times New Roman"/>
          <w:sz w:val="24"/>
          <w:szCs w:val="24"/>
        </w:rPr>
        <w:t>berpotensi</w:t>
      </w:r>
      <w:proofErr w:type="spellEnd"/>
      <w:r w:rsidR="00B53B90" w:rsidRPr="00B14ED8">
        <w:rPr>
          <w:rFonts w:ascii="Times New Roman" w:eastAsia="Times New Roman" w:hAnsi="Times New Roman" w:cs="Times New Roman"/>
          <w:sz w:val="24"/>
          <w:szCs w:val="24"/>
        </w:rPr>
        <w:t xml:space="preserve"> </w:t>
      </w:r>
      <w:proofErr w:type="spellStart"/>
      <w:r w:rsidR="00EE1705" w:rsidRPr="00B14ED8">
        <w:rPr>
          <w:rFonts w:ascii="Times New Roman" w:eastAsia="Times New Roman" w:hAnsi="Times New Roman" w:cs="Times New Roman"/>
          <w:sz w:val="24"/>
          <w:szCs w:val="24"/>
        </w:rPr>
        <w:t>kerugian</w:t>
      </w:r>
      <w:proofErr w:type="spellEnd"/>
      <w:r w:rsidR="00A652E2" w:rsidRPr="00B14ED8">
        <w:rPr>
          <w:rFonts w:ascii="Times New Roman" w:eastAsia="Times New Roman" w:hAnsi="Times New Roman" w:cs="Times New Roman"/>
          <w:sz w:val="24"/>
          <w:szCs w:val="24"/>
        </w:rPr>
        <w:t xml:space="preserve"> </w:t>
      </w:r>
      <w:proofErr w:type="spellStart"/>
      <w:r w:rsidR="00A652E2" w:rsidRPr="00B14ED8">
        <w:rPr>
          <w:rFonts w:ascii="Times New Roman" w:eastAsia="Times New Roman" w:hAnsi="Times New Roman" w:cs="Times New Roman"/>
          <w:sz w:val="24"/>
          <w:szCs w:val="24"/>
        </w:rPr>
        <w:t>khususnya</w:t>
      </w:r>
      <w:proofErr w:type="spellEnd"/>
      <w:r w:rsidR="00A652E2" w:rsidRPr="00B14ED8">
        <w:rPr>
          <w:rFonts w:ascii="Times New Roman" w:eastAsia="Times New Roman" w:hAnsi="Times New Roman" w:cs="Times New Roman"/>
          <w:sz w:val="24"/>
          <w:szCs w:val="24"/>
        </w:rPr>
        <w:t xml:space="preserve"> di </w:t>
      </w:r>
      <w:proofErr w:type="spellStart"/>
      <w:r w:rsidR="00A652E2" w:rsidRPr="00B14ED8">
        <w:rPr>
          <w:rFonts w:ascii="Times New Roman" w:eastAsia="Times New Roman" w:hAnsi="Times New Roman" w:cs="Times New Roman"/>
          <w:sz w:val="24"/>
          <w:szCs w:val="24"/>
        </w:rPr>
        <w:t>pihak</w:t>
      </w:r>
      <w:proofErr w:type="spellEnd"/>
      <w:r w:rsidR="00A652E2" w:rsidRPr="00B14ED8">
        <w:rPr>
          <w:rFonts w:ascii="Times New Roman" w:eastAsia="Times New Roman" w:hAnsi="Times New Roman" w:cs="Times New Roman"/>
          <w:sz w:val="24"/>
          <w:szCs w:val="24"/>
        </w:rPr>
        <w:t xml:space="preserve"> </w:t>
      </w:r>
      <w:proofErr w:type="spellStart"/>
      <w:r w:rsidR="00A652E2" w:rsidRPr="00B14ED8">
        <w:rPr>
          <w:rFonts w:ascii="Times New Roman" w:eastAsia="Times New Roman" w:hAnsi="Times New Roman" w:cs="Times New Roman"/>
          <w:sz w:val="24"/>
          <w:szCs w:val="24"/>
        </w:rPr>
        <w:t>perbankan</w:t>
      </w:r>
      <w:proofErr w:type="spellEnd"/>
      <w:r w:rsidR="00F127B4" w:rsidRPr="00B14ED8">
        <w:rPr>
          <w:rFonts w:ascii="Times New Roman" w:eastAsia="Times New Roman" w:hAnsi="Times New Roman" w:cs="Times New Roman"/>
          <w:sz w:val="24"/>
          <w:szCs w:val="24"/>
        </w:rPr>
        <w:t xml:space="preserve">. </w:t>
      </w:r>
      <w:proofErr w:type="spellStart"/>
      <w:r w:rsidR="00F127B4" w:rsidRPr="00B14ED8">
        <w:rPr>
          <w:rFonts w:ascii="Times New Roman" w:eastAsia="Times New Roman" w:hAnsi="Times New Roman" w:cs="Times New Roman"/>
          <w:sz w:val="24"/>
          <w:szCs w:val="24"/>
        </w:rPr>
        <w:t>Maka</w:t>
      </w:r>
      <w:proofErr w:type="spellEnd"/>
      <w:r w:rsidR="00F127B4" w:rsidRPr="00B14ED8">
        <w:rPr>
          <w:rFonts w:ascii="Times New Roman" w:eastAsia="Times New Roman" w:hAnsi="Times New Roman" w:cs="Times New Roman"/>
          <w:sz w:val="24"/>
          <w:szCs w:val="24"/>
        </w:rPr>
        <w:t xml:space="preserve"> </w:t>
      </w:r>
      <w:proofErr w:type="spellStart"/>
      <w:r w:rsidR="00F127B4" w:rsidRPr="00B14ED8">
        <w:rPr>
          <w:rFonts w:ascii="Times New Roman" w:eastAsia="Times New Roman" w:hAnsi="Times New Roman" w:cs="Times New Roman"/>
          <w:sz w:val="24"/>
          <w:szCs w:val="24"/>
        </w:rPr>
        <w:t>dari</w:t>
      </w:r>
      <w:proofErr w:type="spellEnd"/>
      <w:r w:rsidR="00F127B4" w:rsidRPr="00B14ED8">
        <w:rPr>
          <w:rFonts w:ascii="Times New Roman" w:eastAsia="Times New Roman" w:hAnsi="Times New Roman" w:cs="Times New Roman"/>
          <w:sz w:val="24"/>
          <w:szCs w:val="24"/>
        </w:rPr>
        <w:t xml:space="preserve"> </w:t>
      </w:r>
      <w:proofErr w:type="spellStart"/>
      <w:r w:rsidR="00F127B4" w:rsidRPr="00B14ED8">
        <w:rPr>
          <w:rFonts w:ascii="Times New Roman" w:eastAsia="Times New Roman" w:hAnsi="Times New Roman" w:cs="Times New Roman"/>
          <w:sz w:val="24"/>
          <w:szCs w:val="24"/>
        </w:rPr>
        <w:t>itu</w:t>
      </w:r>
      <w:proofErr w:type="spellEnd"/>
      <w:r w:rsidR="00F127B4" w:rsidRPr="00B14ED8">
        <w:rPr>
          <w:rFonts w:ascii="Times New Roman" w:eastAsia="Times New Roman" w:hAnsi="Times New Roman" w:cs="Times New Roman"/>
          <w:sz w:val="24"/>
          <w:szCs w:val="24"/>
        </w:rPr>
        <w:t xml:space="preserve"> </w:t>
      </w:r>
      <w:proofErr w:type="spellStart"/>
      <w:r w:rsidR="00F127B4" w:rsidRPr="00B14ED8">
        <w:rPr>
          <w:rFonts w:ascii="Times New Roman" w:eastAsia="Times New Roman" w:hAnsi="Times New Roman" w:cs="Times New Roman"/>
          <w:sz w:val="24"/>
          <w:szCs w:val="24"/>
        </w:rPr>
        <w:t>dengan</w:t>
      </w:r>
      <w:proofErr w:type="spellEnd"/>
      <w:r w:rsidR="00F127B4" w:rsidRPr="00B14ED8">
        <w:rPr>
          <w:rFonts w:ascii="Times New Roman" w:eastAsia="Times New Roman" w:hAnsi="Times New Roman" w:cs="Times New Roman"/>
          <w:sz w:val="24"/>
          <w:szCs w:val="24"/>
        </w:rPr>
        <w:t xml:space="preserve"> </w:t>
      </w:r>
      <w:proofErr w:type="spellStart"/>
      <w:r w:rsidR="00F127B4" w:rsidRPr="00B14ED8">
        <w:rPr>
          <w:rFonts w:ascii="Times New Roman" w:eastAsia="Times New Roman" w:hAnsi="Times New Roman" w:cs="Times New Roman"/>
          <w:sz w:val="24"/>
          <w:szCs w:val="24"/>
        </w:rPr>
        <w:t>adanya</w:t>
      </w:r>
      <w:proofErr w:type="spellEnd"/>
      <w:r w:rsidR="00F127B4" w:rsidRPr="00B14ED8">
        <w:rPr>
          <w:rFonts w:ascii="Times New Roman" w:eastAsia="Times New Roman" w:hAnsi="Times New Roman" w:cs="Times New Roman"/>
          <w:sz w:val="24"/>
          <w:szCs w:val="24"/>
        </w:rPr>
        <w:t xml:space="preserve"> </w:t>
      </w:r>
      <w:proofErr w:type="spellStart"/>
      <w:r w:rsidR="00713743" w:rsidRPr="00B14ED8">
        <w:rPr>
          <w:rFonts w:ascii="Times New Roman" w:eastAsia="Times New Roman" w:hAnsi="Times New Roman" w:cs="Times New Roman"/>
          <w:sz w:val="24"/>
          <w:szCs w:val="24"/>
        </w:rPr>
        <w:t>manajemen</w:t>
      </w:r>
      <w:proofErr w:type="spellEnd"/>
      <w:r w:rsidR="00713743" w:rsidRPr="00B14ED8">
        <w:rPr>
          <w:rFonts w:ascii="Times New Roman" w:eastAsia="Times New Roman" w:hAnsi="Times New Roman" w:cs="Times New Roman"/>
          <w:sz w:val="24"/>
          <w:szCs w:val="24"/>
        </w:rPr>
        <w:t xml:space="preserve"> </w:t>
      </w:r>
      <w:proofErr w:type="spellStart"/>
      <w:r w:rsidR="00713743" w:rsidRPr="00B14ED8">
        <w:rPr>
          <w:rFonts w:ascii="Times New Roman" w:eastAsia="Times New Roman" w:hAnsi="Times New Roman" w:cs="Times New Roman"/>
          <w:sz w:val="24"/>
          <w:szCs w:val="24"/>
        </w:rPr>
        <w:t>risiko</w:t>
      </w:r>
      <w:proofErr w:type="spellEnd"/>
      <w:r w:rsidR="00713743" w:rsidRPr="00B14ED8">
        <w:rPr>
          <w:rFonts w:ascii="Times New Roman" w:eastAsia="Times New Roman" w:hAnsi="Times New Roman" w:cs="Times New Roman"/>
          <w:sz w:val="24"/>
          <w:szCs w:val="24"/>
        </w:rPr>
        <w:t xml:space="preserve">, </w:t>
      </w:r>
      <w:proofErr w:type="spellStart"/>
      <w:r w:rsidR="00713743" w:rsidRPr="00B14ED8">
        <w:rPr>
          <w:rFonts w:ascii="Times New Roman" w:eastAsia="Times New Roman" w:hAnsi="Times New Roman" w:cs="Times New Roman"/>
          <w:sz w:val="24"/>
          <w:szCs w:val="24"/>
        </w:rPr>
        <w:t>peluang</w:t>
      </w:r>
      <w:proofErr w:type="spellEnd"/>
      <w:r w:rsidR="00713743" w:rsidRPr="00B14ED8">
        <w:rPr>
          <w:rFonts w:ascii="Times New Roman" w:eastAsia="Times New Roman" w:hAnsi="Times New Roman" w:cs="Times New Roman"/>
          <w:sz w:val="24"/>
          <w:szCs w:val="24"/>
        </w:rPr>
        <w:t xml:space="preserve"> </w:t>
      </w:r>
      <w:proofErr w:type="spellStart"/>
      <w:r w:rsidR="009D4E59" w:rsidRPr="00B14ED8">
        <w:rPr>
          <w:rFonts w:ascii="Times New Roman" w:eastAsia="Times New Roman" w:hAnsi="Times New Roman" w:cs="Times New Roman"/>
          <w:sz w:val="24"/>
          <w:szCs w:val="24"/>
        </w:rPr>
        <w:t>investasi</w:t>
      </w:r>
      <w:proofErr w:type="spellEnd"/>
      <w:r w:rsidR="009D4E59" w:rsidRPr="00B14ED8">
        <w:rPr>
          <w:rFonts w:ascii="Times New Roman" w:eastAsia="Times New Roman" w:hAnsi="Times New Roman" w:cs="Times New Roman"/>
          <w:sz w:val="24"/>
          <w:szCs w:val="24"/>
        </w:rPr>
        <w:t xml:space="preserve"> </w:t>
      </w:r>
      <w:proofErr w:type="spellStart"/>
      <w:r w:rsidR="00713743" w:rsidRPr="00B14ED8">
        <w:rPr>
          <w:rFonts w:ascii="Times New Roman" w:eastAsia="Times New Roman" w:hAnsi="Times New Roman" w:cs="Times New Roman"/>
          <w:sz w:val="24"/>
          <w:szCs w:val="24"/>
        </w:rPr>
        <w:t>pembiayaan</w:t>
      </w:r>
      <w:proofErr w:type="spellEnd"/>
      <w:r w:rsidR="00713743" w:rsidRPr="00B14ED8">
        <w:rPr>
          <w:rFonts w:ascii="Times New Roman" w:eastAsia="Times New Roman" w:hAnsi="Times New Roman" w:cs="Times New Roman"/>
          <w:sz w:val="24"/>
          <w:szCs w:val="24"/>
        </w:rPr>
        <w:t xml:space="preserve"> </w:t>
      </w:r>
      <w:proofErr w:type="spellStart"/>
      <w:r w:rsidR="00713743" w:rsidRPr="00B14ED8">
        <w:rPr>
          <w:rFonts w:ascii="Times New Roman" w:eastAsia="Times New Roman" w:hAnsi="Times New Roman" w:cs="Times New Roman"/>
          <w:i/>
          <w:iCs/>
          <w:sz w:val="24"/>
          <w:szCs w:val="24"/>
        </w:rPr>
        <w:t>mudharabah</w:t>
      </w:r>
      <w:proofErr w:type="spellEnd"/>
      <w:r w:rsidR="00713743" w:rsidRPr="00B14ED8">
        <w:rPr>
          <w:rFonts w:ascii="Times New Roman" w:eastAsia="Times New Roman" w:hAnsi="Times New Roman" w:cs="Times New Roman"/>
          <w:i/>
          <w:iCs/>
          <w:sz w:val="24"/>
          <w:szCs w:val="24"/>
        </w:rPr>
        <w:t xml:space="preserve"> </w:t>
      </w:r>
      <w:proofErr w:type="spellStart"/>
      <w:r w:rsidR="00B00C82" w:rsidRPr="00B14ED8">
        <w:rPr>
          <w:rFonts w:ascii="Times New Roman" w:eastAsia="Times New Roman" w:hAnsi="Times New Roman" w:cs="Times New Roman"/>
          <w:sz w:val="24"/>
          <w:szCs w:val="24"/>
        </w:rPr>
        <w:t>dengan</w:t>
      </w:r>
      <w:proofErr w:type="spellEnd"/>
      <w:r w:rsidR="00B00C82" w:rsidRPr="00B14ED8">
        <w:rPr>
          <w:rFonts w:ascii="Times New Roman" w:eastAsia="Times New Roman" w:hAnsi="Times New Roman" w:cs="Times New Roman"/>
          <w:sz w:val="24"/>
          <w:szCs w:val="24"/>
        </w:rPr>
        <w:t xml:space="preserve"> </w:t>
      </w:r>
      <w:proofErr w:type="spellStart"/>
      <w:r w:rsidR="00B00C82" w:rsidRPr="00B14ED8">
        <w:rPr>
          <w:rFonts w:ascii="Times New Roman" w:eastAsia="Times New Roman" w:hAnsi="Times New Roman" w:cs="Times New Roman"/>
          <w:sz w:val="24"/>
          <w:szCs w:val="24"/>
        </w:rPr>
        <w:t>jumlah</w:t>
      </w:r>
      <w:proofErr w:type="spellEnd"/>
      <w:r w:rsidR="00B00C82" w:rsidRPr="00B14ED8">
        <w:rPr>
          <w:rFonts w:ascii="Times New Roman" w:eastAsia="Times New Roman" w:hAnsi="Times New Roman" w:cs="Times New Roman"/>
          <w:sz w:val="24"/>
          <w:szCs w:val="24"/>
        </w:rPr>
        <w:t xml:space="preserve"> yang </w:t>
      </w:r>
      <w:proofErr w:type="spellStart"/>
      <w:r w:rsidR="00B00C82" w:rsidRPr="00B14ED8">
        <w:rPr>
          <w:rFonts w:ascii="Times New Roman" w:eastAsia="Times New Roman" w:hAnsi="Times New Roman" w:cs="Times New Roman"/>
          <w:sz w:val="24"/>
          <w:szCs w:val="24"/>
        </w:rPr>
        <w:t>besar</w:t>
      </w:r>
      <w:proofErr w:type="spellEnd"/>
      <w:r w:rsidR="00B00C82" w:rsidRPr="00B14ED8">
        <w:rPr>
          <w:rFonts w:ascii="Times New Roman" w:eastAsia="Times New Roman" w:hAnsi="Times New Roman" w:cs="Times New Roman"/>
          <w:sz w:val="24"/>
          <w:szCs w:val="24"/>
        </w:rPr>
        <w:t xml:space="preserve"> </w:t>
      </w:r>
      <w:proofErr w:type="spellStart"/>
      <w:r w:rsidR="00B00C82" w:rsidRPr="00B14ED8">
        <w:rPr>
          <w:rFonts w:ascii="Times New Roman" w:eastAsia="Times New Roman" w:hAnsi="Times New Roman" w:cs="Times New Roman"/>
          <w:sz w:val="24"/>
          <w:szCs w:val="24"/>
        </w:rPr>
        <w:t>lebih</w:t>
      </w:r>
      <w:proofErr w:type="spellEnd"/>
      <w:r w:rsidR="00B00C82" w:rsidRPr="00B14ED8">
        <w:rPr>
          <w:rFonts w:ascii="Times New Roman" w:eastAsia="Times New Roman" w:hAnsi="Times New Roman" w:cs="Times New Roman"/>
          <w:sz w:val="24"/>
          <w:szCs w:val="24"/>
        </w:rPr>
        <w:t xml:space="preserve"> </w:t>
      </w:r>
      <w:proofErr w:type="spellStart"/>
      <w:r w:rsidR="00B00C82" w:rsidRPr="00B14ED8">
        <w:rPr>
          <w:rFonts w:ascii="Times New Roman" w:eastAsia="Times New Roman" w:hAnsi="Times New Roman" w:cs="Times New Roman"/>
          <w:sz w:val="24"/>
          <w:szCs w:val="24"/>
        </w:rPr>
        <w:t>ditekan</w:t>
      </w:r>
      <w:proofErr w:type="spellEnd"/>
      <w:r w:rsidR="00B00C82" w:rsidRPr="00B14ED8">
        <w:rPr>
          <w:rFonts w:ascii="Times New Roman" w:eastAsia="Times New Roman" w:hAnsi="Times New Roman" w:cs="Times New Roman"/>
          <w:sz w:val="24"/>
          <w:szCs w:val="24"/>
        </w:rPr>
        <w:t xml:space="preserve"> </w:t>
      </w:r>
      <w:proofErr w:type="spellStart"/>
      <w:r w:rsidR="00BB14B4" w:rsidRPr="00B14ED8">
        <w:rPr>
          <w:rFonts w:ascii="Times New Roman" w:eastAsia="Times New Roman" w:hAnsi="Times New Roman" w:cs="Times New Roman"/>
          <w:sz w:val="24"/>
          <w:szCs w:val="24"/>
        </w:rPr>
        <w:t>untuk</w:t>
      </w:r>
      <w:proofErr w:type="spellEnd"/>
      <w:r w:rsidR="00BB14B4" w:rsidRPr="00B14ED8">
        <w:rPr>
          <w:rFonts w:ascii="Times New Roman" w:eastAsia="Times New Roman" w:hAnsi="Times New Roman" w:cs="Times New Roman"/>
          <w:sz w:val="24"/>
          <w:szCs w:val="24"/>
        </w:rPr>
        <w:t xml:space="preserve"> </w:t>
      </w:r>
      <w:proofErr w:type="spellStart"/>
      <w:r w:rsidR="00BB14B4" w:rsidRPr="00B14ED8">
        <w:rPr>
          <w:rFonts w:ascii="Times New Roman" w:eastAsia="Times New Roman" w:hAnsi="Times New Roman" w:cs="Times New Roman"/>
          <w:sz w:val="24"/>
          <w:szCs w:val="24"/>
        </w:rPr>
        <w:t>mengurangi</w:t>
      </w:r>
      <w:proofErr w:type="spellEnd"/>
      <w:r w:rsidR="00BB14B4" w:rsidRPr="00B14ED8">
        <w:rPr>
          <w:rFonts w:ascii="Times New Roman" w:eastAsia="Times New Roman" w:hAnsi="Times New Roman" w:cs="Times New Roman"/>
          <w:sz w:val="24"/>
          <w:szCs w:val="24"/>
        </w:rPr>
        <w:t xml:space="preserve"> </w:t>
      </w:r>
      <w:proofErr w:type="spellStart"/>
      <w:r w:rsidR="00BB14B4" w:rsidRPr="00B14ED8">
        <w:rPr>
          <w:rFonts w:ascii="Times New Roman" w:eastAsia="Times New Roman" w:hAnsi="Times New Roman" w:cs="Times New Roman"/>
          <w:sz w:val="24"/>
          <w:szCs w:val="24"/>
        </w:rPr>
        <w:t>risiko</w:t>
      </w:r>
      <w:proofErr w:type="spellEnd"/>
      <w:r w:rsidR="00BB14B4" w:rsidRPr="00B14ED8">
        <w:rPr>
          <w:rFonts w:ascii="Times New Roman" w:eastAsia="Times New Roman" w:hAnsi="Times New Roman" w:cs="Times New Roman"/>
          <w:sz w:val="24"/>
          <w:szCs w:val="24"/>
        </w:rPr>
        <w:t xml:space="preserve"> </w:t>
      </w:r>
      <w:proofErr w:type="spellStart"/>
      <w:r w:rsidR="00BB14B4" w:rsidRPr="00B14ED8">
        <w:rPr>
          <w:rFonts w:ascii="Times New Roman" w:eastAsia="Times New Roman" w:hAnsi="Times New Roman" w:cs="Times New Roman"/>
          <w:sz w:val="24"/>
          <w:szCs w:val="24"/>
        </w:rPr>
        <w:t>dimana</w:t>
      </w:r>
      <w:proofErr w:type="spellEnd"/>
      <w:r w:rsidR="00BB14B4" w:rsidRPr="00B14ED8">
        <w:rPr>
          <w:rFonts w:ascii="Times New Roman" w:eastAsia="Times New Roman" w:hAnsi="Times New Roman" w:cs="Times New Roman"/>
          <w:sz w:val="24"/>
          <w:szCs w:val="24"/>
        </w:rPr>
        <w:t xml:space="preserve"> </w:t>
      </w:r>
      <w:proofErr w:type="spellStart"/>
      <w:r w:rsidR="00BB14B4" w:rsidRPr="00B14ED8">
        <w:rPr>
          <w:rFonts w:ascii="Times New Roman" w:eastAsia="Times New Roman" w:hAnsi="Times New Roman" w:cs="Times New Roman"/>
          <w:sz w:val="24"/>
          <w:szCs w:val="24"/>
        </w:rPr>
        <w:t>hal</w:t>
      </w:r>
      <w:proofErr w:type="spellEnd"/>
      <w:r w:rsidR="00BB14B4" w:rsidRPr="00B14ED8">
        <w:rPr>
          <w:rFonts w:ascii="Times New Roman" w:eastAsia="Times New Roman" w:hAnsi="Times New Roman" w:cs="Times New Roman"/>
          <w:sz w:val="24"/>
          <w:szCs w:val="24"/>
        </w:rPr>
        <w:t xml:space="preserve"> </w:t>
      </w:r>
      <w:proofErr w:type="spellStart"/>
      <w:r w:rsidR="00BB14B4" w:rsidRPr="00B14ED8">
        <w:rPr>
          <w:rFonts w:ascii="Times New Roman" w:eastAsia="Times New Roman" w:hAnsi="Times New Roman" w:cs="Times New Roman"/>
          <w:sz w:val="24"/>
          <w:szCs w:val="24"/>
        </w:rPr>
        <w:t>tersebut</w:t>
      </w:r>
      <w:proofErr w:type="spellEnd"/>
      <w:r w:rsidR="00BB14B4" w:rsidRPr="00B14ED8">
        <w:rPr>
          <w:rFonts w:ascii="Times New Roman" w:eastAsia="Times New Roman" w:hAnsi="Times New Roman" w:cs="Times New Roman"/>
          <w:sz w:val="24"/>
          <w:szCs w:val="24"/>
        </w:rPr>
        <w:t xml:space="preserve"> </w:t>
      </w:r>
      <w:proofErr w:type="spellStart"/>
      <w:r w:rsidR="00BB14B4" w:rsidRPr="00B14ED8">
        <w:rPr>
          <w:rFonts w:ascii="Times New Roman" w:eastAsia="Times New Roman" w:hAnsi="Times New Roman" w:cs="Times New Roman"/>
          <w:sz w:val="24"/>
          <w:szCs w:val="24"/>
        </w:rPr>
        <w:t>berdampak</w:t>
      </w:r>
      <w:proofErr w:type="spellEnd"/>
      <w:r w:rsidR="00BB14B4" w:rsidRPr="00B14ED8">
        <w:rPr>
          <w:rFonts w:ascii="Times New Roman" w:eastAsia="Times New Roman" w:hAnsi="Times New Roman" w:cs="Times New Roman"/>
          <w:sz w:val="24"/>
          <w:szCs w:val="24"/>
        </w:rPr>
        <w:t xml:space="preserve"> pada </w:t>
      </w:r>
      <w:proofErr w:type="spellStart"/>
      <w:r w:rsidR="00BB14B4" w:rsidRPr="00B14ED8">
        <w:rPr>
          <w:rFonts w:ascii="Times New Roman" w:eastAsia="Times New Roman" w:hAnsi="Times New Roman" w:cs="Times New Roman"/>
          <w:sz w:val="24"/>
          <w:szCs w:val="24"/>
        </w:rPr>
        <w:t>nilai</w:t>
      </w:r>
      <w:proofErr w:type="spellEnd"/>
      <w:r w:rsidR="00BB14B4" w:rsidRPr="00B14ED8">
        <w:rPr>
          <w:rFonts w:ascii="Times New Roman" w:eastAsia="Times New Roman" w:hAnsi="Times New Roman" w:cs="Times New Roman"/>
          <w:sz w:val="24"/>
          <w:szCs w:val="24"/>
        </w:rPr>
        <w:t xml:space="preserve"> profit </w:t>
      </w:r>
      <w:proofErr w:type="spellStart"/>
      <w:r w:rsidR="009731C9" w:rsidRPr="00B14ED8">
        <w:rPr>
          <w:rFonts w:ascii="Times New Roman" w:eastAsia="Times New Roman" w:hAnsi="Times New Roman" w:cs="Times New Roman"/>
          <w:sz w:val="24"/>
          <w:szCs w:val="24"/>
        </w:rPr>
        <w:t>dari</w:t>
      </w:r>
      <w:proofErr w:type="spellEnd"/>
      <w:r w:rsidR="009731C9" w:rsidRPr="00B14ED8">
        <w:rPr>
          <w:rFonts w:ascii="Times New Roman" w:eastAsia="Times New Roman" w:hAnsi="Times New Roman" w:cs="Times New Roman"/>
          <w:sz w:val="24"/>
          <w:szCs w:val="24"/>
        </w:rPr>
        <w:t xml:space="preserve"> </w:t>
      </w:r>
      <w:proofErr w:type="spellStart"/>
      <w:r w:rsidR="009731C9" w:rsidRPr="00B14ED8">
        <w:rPr>
          <w:rFonts w:ascii="Times New Roman" w:eastAsia="Times New Roman" w:hAnsi="Times New Roman" w:cs="Times New Roman"/>
          <w:sz w:val="24"/>
          <w:szCs w:val="24"/>
        </w:rPr>
        <w:t>pendanaan</w:t>
      </w:r>
      <w:proofErr w:type="spellEnd"/>
      <w:r w:rsidR="009731C9" w:rsidRPr="00B14ED8">
        <w:rPr>
          <w:rFonts w:ascii="Times New Roman" w:eastAsia="Times New Roman" w:hAnsi="Times New Roman" w:cs="Times New Roman"/>
          <w:sz w:val="24"/>
          <w:szCs w:val="24"/>
        </w:rPr>
        <w:t xml:space="preserve"> </w:t>
      </w:r>
      <w:proofErr w:type="spellStart"/>
      <w:r w:rsidR="009731C9" w:rsidRPr="00B14ED8">
        <w:rPr>
          <w:rFonts w:ascii="Times New Roman" w:eastAsia="Times New Roman" w:hAnsi="Times New Roman" w:cs="Times New Roman"/>
          <w:i/>
          <w:iCs/>
          <w:sz w:val="24"/>
          <w:szCs w:val="24"/>
        </w:rPr>
        <w:t>mudharabah</w:t>
      </w:r>
      <w:proofErr w:type="spellEnd"/>
      <w:r w:rsidR="009731C9" w:rsidRPr="00B14ED8">
        <w:rPr>
          <w:rFonts w:ascii="Times New Roman" w:eastAsia="Times New Roman" w:hAnsi="Times New Roman" w:cs="Times New Roman"/>
          <w:i/>
          <w:iCs/>
          <w:sz w:val="24"/>
          <w:szCs w:val="24"/>
        </w:rPr>
        <w:t xml:space="preserve"> </w:t>
      </w:r>
      <w:proofErr w:type="spellStart"/>
      <w:r w:rsidR="009731C9" w:rsidRPr="00B14ED8">
        <w:rPr>
          <w:rFonts w:ascii="Times New Roman" w:eastAsia="Times New Roman" w:hAnsi="Times New Roman" w:cs="Times New Roman"/>
          <w:sz w:val="24"/>
          <w:szCs w:val="24"/>
        </w:rPr>
        <w:t>turut</w:t>
      </w:r>
      <w:proofErr w:type="spellEnd"/>
      <w:r w:rsidR="009731C9" w:rsidRPr="00B14ED8">
        <w:rPr>
          <w:rFonts w:ascii="Times New Roman" w:eastAsia="Times New Roman" w:hAnsi="Times New Roman" w:cs="Times New Roman"/>
          <w:sz w:val="24"/>
          <w:szCs w:val="24"/>
        </w:rPr>
        <w:t xml:space="preserve"> </w:t>
      </w:r>
      <w:proofErr w:type="spellStart"/>
      <w:r w:rsidR="009731C9" w:rsidRPr="00B14ED8">
        <w:rPr>
          <w:rFonts w:ascii="Times New Roman" w:eastAsia="Times New Roman" w:hAnsi="Times New Roman" w:cs="Times New Roman"/>
          <w:sz w:val="24"/>
          <w:szCs w:val="24"/>
        </w:rPr>
        <w:t>mengalami</w:t>
      </w:r>
      <w:proofErr w:type="spellEnd"/>
      <w:r w:rsidR="009731C9" w:rsidRPr="00B14ED8">
        <w:rPr>
          <w:rFonts w:ascii="Times New Roman" w:eastAsia="Times New Roman" w:hAnsi="Times New Roman" w:cs="Times New Roman"/>
          <w:sz w:val="24"/>
          <w:szCs w:val="24"/>
        </w:rPr>
        <w:t xml:space="preserve"> </w:t>
      </w:r>
      <w:proofErr w:type="spellStart"/>
      <w:r w:rsidR="009731C9" w:rsidRPr="00B14ED8">
        <w:rPr>
          <w:rFonts w:ascii="Times New Roman" w:eastAsia="Times New Roman" w:hAnsi="Times New Roman" w:cs="Times New Roman"/>
          <w:sz w:val="24"/>
          <w:szCs w:val="24"/>
        </w:rPr>
        <w:t>penurunan</w:t>
      </w:r>
      <w:proofErr w:type="spellEnd"/>
      <w:r w:rsidR="009731C9" w:rsidRPr="00B14ED8">
        <w:rPr>
          <w:rFonts w:ascii="Times New Roman" w:eastAsia="Times New Roman" w:hAnsi="Times New Roman" w:cs="Times New Roman"/>
          <w:sz w:val="24"/>
          <w:szCs w:val="24"/>
        </w:rPr>
        <w:t xml:space="preserve">. </w:t>
      </w:r>
    </w:p>
    <w:p w14:paraId="0D27965D" w14:textId="5286EEA3" w:rsidR="00A6124B" w:rsidRPr="00B14ED8" w:rsidRDefault="00A6124B" w:rsidP="00B14ED8">
      <w:pPr>
        <w:pStyle w:val="ListParagraph"/>
        <w:numPr>
          <w:ilvl w:val="0"/>
          <w:numId w:val="15"/>
        </w:numPr>
        <w:spacing w:after="0" w:line="360" w:lineRule="auto"/>
        <w:ind w:left="567" w:hanging="567"/>
        <w:jc w:val="both"/>
        <w:rPr>
          <w:rFonts w:ascii="Times New Roman" w:eastAsia="Times New Roman" w:hAnsi="Times New Roman" w:cs="Times New Roman"/>
          <w:b/>
          <w:bCs/>
          <w:sz w:val="24"/>
          <w:szCs w:val="24"/>
        </w:rPr>
      </w:pPr>
      <w:proofErr w:type="spellStart"/>
      <w:r w:rsidRPr="00B14ED8">
        <w:rPr>
          <w:rFonts w:ascii="Times New Roman" w:eastAsia="Times New Roman" w:hAnsi="Times New Roman" w:cs="Times New Roman"/>
          <w:b/>
          <w:bCs/>
          <w:sz w:val="24"/>
          <w:szCs w:val="24"/>
        </w:rPr>
        <w:t>Pengaruh</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Pembiayaan</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i/>
          <w:iCs/>
          <w:sz w:val="24"/>
          <w:szCs w:val="24"/>
        </w:rPr>
        <w:t>Mu</w:t>
      </w:r>
      <w:r w:rsidR="005550C0" w:rsidRPr="00B14ED8">
        <w:rPr>
          <w:rFonts w:ascii="Times New Roman" w:eastAsia="Times New Roman" w:hAnsi="Times New Roman" w:cs="Times New Roman"/>
          <w:b/>
          <w:bCs/>
          <w:i/>
          <w:iCs/>
          <w:sz w:val="24"/>
          <w:szCs w:val="24"/>
        </w:rPr>
        <w:t>syarakah</w:t>
      </w:r>
      <w:proofErr w:type="spellEnd"/>
      <w:r w:rsidRPr="00B14ED8">
        <w:rPr>
          <w:rFonts w:ascii="Times New Roman" w:eastAsia="Times New Roman" w:hAnsi="Times New Roman" w:cs="Times New Roman"/>
          <w:b/>
          <w:bCs/>
          <w:i/>
          <w:iCs/>
          <w:sz w:val="24"/>
          <w:szCs w:val="24"/>
        </w:rPr>
        <w:t xml:space="preserve"> </w:t>
      </w:r>
      <w:proofErr w:type="spellStart"/>
      <w:r w:rsidRPr="00B14ED8">
        <w:rPr>
          <w:rFonts w:ascii="Times New Roman" w:eastAsia="Times New Roman" w:hAnsi="Times New Roman" w:cs="Times New Roman"/>
          <w:b/>
          <w:bCs/>
          <w:sz w:val="24"/>
          <w:szCs w:val="24"/>
        </w:rPr>
        <w:t>dengan</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Moderasi</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Manajemen</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Risiko</w:t>
      </w:r>
      <w:proofErr w:type="spellEnd"/>
      <w:r w:rsidRPr="00B14ED8">
        <w:rPr>
          <w:rFonts w:ascii="Times New Roman" w:eastAsia="Times New Roman" w:hAnsi="Times New Roman" w:cs="Times New Roman"/>
          <w:b/>
          <w:bCs/>
          <w:i/>
          <w:iCs/>
          <w:sz w:val="24"/>
          <w:szCs w:val="24"/>
        </w:rPr>
        <w:t xml:space="preserve"> </w:t>
      </w:r>
      <w:proofErr w:type="spellStart"/>
      <w:r w:rsidRPr="00B14ED8">
        <w:rPr>
          <w:rFonts w:ascii="Times New Roman" w:eastAsia="Times New Roman" w:hAnsi="Times New Roman" w:cs="Times New Roman"/>
          <w:b/>
          <w:bCs/>
          <w:sz w:val="24"/>
          <w:szCs w:val="24"/>
        </w:rPr>
        <w:t>terhadap</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Kinerja</w:t>
      </w:r>
      <w:proofErr w:type="spellEnd"/>
      <w:r w:rsidRPr="00B14ED8">
        <w:rPr>
          <w:rFonts w:ascii="Times New Roman" w:eastAsia="Times New Roman" w:hAnsi="Times New Roman" w:cs="Times New Roman"/>
          <w:b/>
          <w:bCs/>
          <w:sz w:val="24"/>
          <w:szCs w:val="24"/>
        </w:rPr>
        <w:t xml:space="preserve"> </w:t>
      </w:r>
      <w:proofErr w:type="spellStart"/>
      <w:r w:rsidRPr="00B14ED8">
        <w:rPr>
          <w:rFonts w:ascii="Times New Roman" w:eastAsia="Times New Roman" w:hAnsi="Times New Roman" w:cs="Times New Roman"/>
          <w:b/>
          <w:bCs/>
          <w:sz w:val="24"/>
          <w:szCs w:val="24"/>
        </w:rPr>
        <w:t>Keuangan</w:t>
      </w:r>
      <w:proofErr w:type="spellEnd"/>
    </w:p>
    <w:p w14:paraId="7A6841C7" w14:textId="4F132BB9" w:rsidR="00621FC2" w:rsidRPr="00B14ED8" w:rsidRDefault="00ED4D68" w:rsidP="00B14ED8">
      <w:pPr>
        <w:spacing w:after="0" w:line="360" w:lineRule="auto"/>
        <w:ind w:left="567"/>
        <w:jc w:val="both"/>
        <w:rPr>
          <w:rFonts w:ascii="Times New Roman" w:eastAsia="Times New Roman" w:hAnsi="Times New Roman" w:cs="Times New Roman"/>
          <w:sz w:val="24"/>
          <w:szCs w:val="24"/>
        </w:rPr>
      </w:pPr>
      <w:r w:rsidRPr="00B14ED8">
        <w:rPr>
          <w:rFonts w:ascii="Times New Roman" w:eastAsia="Times New Roman" w:hAnsi="Times New Roman" w:cs="Times New Roman"/>
          <w:sz w:val="24"/>
          <w:szCs w:val="24"/>
        </w:rPr>
        <w:t xml:space="preserve">Nilai </w:t>
      </w:r>
      <w:proofErr w:type="spellStart"/>
      <w:r w:rsidRPr="00B14ED8">
        <w:rPr>
          <w:rFonts w:ascii="Times New Roman" w:eastAsia="Times New Roman" w:hAnsi="Times New Roman" w:cs="Times New Roman"/>
          <w:sz w:val="24"/>
          <w:szCs w:val="24"/>
        </w:rPr>
        <w:t>koefisien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pembiayaan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i/>
          <w:iCs/>
          <w:sz w:val="24"/>
          <w:szCs w:val="24"/>
        </w:rPr>
        <w:t>mu</w:t>
      </w:r>
      <w:r w:rsidR="006079B8" w:rsidRPr="00B14ED8">
        <w:rPr>
          <w:rFonts w:ascii="Times New Roman" w:eastAsia="Times New Roman" w:hAnsi="Times New Roman" w:cs="Times New Roman"/>
          <w:i/>
          <w:iCs/>
          <w:sz w:val="24"/>
          <w:szCs w:val="24"/>
        </w:rPr>
        <w:t>syarakah</w:t>
      </w:r>
      <w:proofErr w:type="spellEnd"/>
      <w:r w:rsidRPr="00B14ED8">
        <w:rPr>
          <w:rFonts w:ascii="Times New Roman" w:eastAsia="Times New Roman" w:hAnsi="Times New Roman" w:cs="Times New Roman"/>
          <w:i/>
          <w:iCs/>
          <w:sz w:val="24"/>
          <w:szCs w:val="24"/>
        </w:rPr>
        <w:t xml:space="preserve"> </w:t>
      </w:r>
      <w:proofErr w:type="spellStart"/>
      <w:r w:rsidRPr="00B14ED8">
        <w:rPr>
          <w:rFonts w:ascii="Times New Roman" w:eastAsia="Times New Roman" w:hAnsi="Times New Roman" w:cs="Times New Roman"/>
          <w:sz w:val="24"/>
          <w:szCs w:val="24"/>
        </w:rPr>
        <w:t>dengan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moderasi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manajemen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risiko</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sebesar</w:t>
      </w:r>
      <w:proofErr w:type="spellEnd"/>
      <w:r w:rsidRPr="00B14ED8">
        <w:rPr>
          <w:rFonts w:ascii="Times New Roman" w:eastAsia="Times New Roman" w:hAnsi="Times New Roman" w:cs="Times New Roman"/>
          <w:sz w:val="24"/>
          <w:szCs w:val="24"/>
        </w:rPr>
        <w:t xml:space="preserve"> -1,</w:t>
      </w:r>
      <w:r w:rsidR="00323960" w:rsidRPr="00B14ED8">
        <w:rPr>
          <w:rFonts w:ascii="Times New Roman" w:eastAsia="Times New Roman" w:hAnsi="Times New Roman" w:cs="Times New Roman"/>
          <w:sz w:val="24"/>
          <w:szCs w:val="24"/>
        </w:rPr>
        <w:t>68</w:t>
      </w:r>
      <w:r w:rsidRPr="00B14ED8">
        <w:rPr>
          <w:rFonts w:ascii="Times New Roman" w:eastAsia="Times New Roman" w:hAnsi="Times New Roman" w:cs="Times New Roman"/>
          <w:sz w:val="24"/>
          <w:szCs w:val="24"/>
        </w:rPr>
        <w:t xml:space="preserve">2 </w:t>
      </w:r>
      <w:proofErr w:type="spellStart"/>
      <w:r w:rsidRPr="00B14ED8">
        <w:rPr>
          <w:rFonts w:ascii="Times New Roman" w:eastAsia="Times New Roman" w:hAnsi="Times New Roman" w:cs="Times New Roman"/>
          <w:sz w:val="24"/>
          <w:szCs w:val="24"/>
        </w:rPr>
        <w:t>dengan</w:t>
      </w:r>
      <w:proofErr w:type="spellEnd"/>
      <w:r w:rsidRPr="00B14ED8">
        <w:rPr>
          <w:rFonts w:ascii="Times New Roman" w:eastAsia="Times New Roman" w:hAnsi="Times New Roman" w:cs="Times New Roman"/>
          <w:sz w:val="24"/>
          <w:szCs w:val="24"/>
        </w:rPr>
        <w:t xml:space="preserve"> P-Value 0,0</w:t>
      </w:r>
      <w:r w:rsidR="00323960" w:rsidRPr="00B14ED8">
        <w:rPr>
          <w:rFonts w:ascii="Times New Roman" w:eastAsia="Times New Roman" w:hAnsi="Times New Roman" w:cs="Times New Roman"/>
          <w:sz w:val="24"/>
          <w:szCs w:val="24"/>
        </w:rPr>
        <w:t>33</w:t>
      </w:r>
      <w:r w:rsidRPr="00B14ED8">
        <w:rPr>
          <w:rFonts w:ascii="Times New Roman" w:eastAsia="Times New Roman" w:hAnsi="Times New Roman" w:cs="Times New Roman"/>
          <w:sz w:val="24"/>
          <w:szCs w:val="24"/>
        </w:rPr>
        <w:t xml:space="preserve"> &lt; 0,05 yang </w:t>
      </w:r>
      <w:proofErr w:type="spellStart"/>
      <w:r w:rsidRPr="00B14ED8">
        <w:rPr>
          <w:rFonts w:ascii="Times New Roman" w:eastAsia="Times New Roman" w:hAnsi="Times New Roman" w:cs="Times New Roman"/>
          <w:sz w:val="24"/>
          <w:szCs w:val="24"/>
        </w:rPr>
        <w:t>berarti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bahwa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manajemen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risiko</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mampu</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memoderasi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pengaruh</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pembiayaan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i/>
          <w:iCs/>
          <w:sz w:val="24"/>
          <w:szCs w:val="24"/>
        </w:rPr>
        <w:t>mu</w:t>
      </w:r>
      <w:r w:rsidR="002E1B34" w:rsidRPr="00B14ED8">
        <w:rPr>
          <w:rFonts w:ascii="Times New Roman" w:eastAsia="Times New Roman" w:hAnsi="Times New Roman" w:cs="Times New Roman"/>
          <w:i/>
          <w:iCs/>
          <w:sz w:val="24"/>
          <w:szCs w:val="24"/>
        </w:rPr>
        <w:t>syarakah</w:t>
      </w:r>
      <w:proofErr w:type="spellEnd"/>
      <w:r w:rsidRPr="00B14ED8">
        <w:rPr>
          <w:rFonts w:ascii="Times New Roman" w:eastAsia="Times New Roman" w:hAnsi="Times New Roman" w:cs="Times New Roman"/>
          <w:i/>
          <w:iCs/>
          <w:sz w:val="24"/>
          <w:szCs w:val="24"/>
        </w:rPr>
        <w:t xml:space="preserve"> </w:t>
      </w:r>
      <w:proofErr w:type="spellStart"/>
      <w:r w:rsidRPr="00B14ED8">
        <w:rPr>
          <w:rFonts w:ascii="Times New Roman" w:eastAsia="Times New Roman" w:hAnsi="Times New Roman" w:cs="Times New Roman"/>
          <w:sz w:val="24"/>
          <w:szCs w:val="24"/>
        </w:rPr>
        <w:t>terhadap</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kinerja</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keuangan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Keterangan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ini</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mengindikasikan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bahwa</w:t>
      </w:r>
      <w:proofErr w:type="spellEnd"/>
      <w:r w:rsidRPr="00B14ED8">
        <w:rPr>
          <w:rFonts w:ascii="Times New Roman" w:eastAsia="Times New Roman" w:hAnsi="Times New Roman" w:cs="Times New Roman"/>
          <w:sz w:val="24"/>
          <w:szCs w:val="24"/>
        </w:rPr>
        <w:t xml:space="preserve"> </w:t>
      </w:r>
      <w:r w:rsidR="00D71142" w:rsidRPr="00B14ED8">
        <w:rPr>
          <w:rFonts w:ascii="Times New Roman" w:eastAsia="Times New Roman" w:hAnsi="Times New Roman" w:cs="Times New Roman"/>
          <w:sz w:val="24"/>
          <w:szCs w:val="24"/>
        </w:rPr>
        <w:t>H4</w:t>
      </w:r>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penelitian</w:t>
      </w:r>
      <w:proofErr w:type="spellEnd"/>
      <w:r w:rsidRPr="00B14ED8">
        <w:rPr>
          <w:rFonts w:ascii="Times New Roman" w:eastAsia="Times New Roman" w:hAnsi="Times New Roman" w:cs="Times New Roman"/>
          <w:sz w:val="24"/>
          <w:szCs w:val="24"/>
        </w:rPr>
        <w:t xml:space="preserve"> </w:t>
      </w:r>
      <w:proofErr w:type="spellStart"/>
      <w:r w:rsidRPr="00B14ED8">
        <w:rPr>
          <w:rFonts w:ascii="Times New Roman" w:eastAsia="Times New Roman" w:hAnsi="Times New Roman" w:cs="Times New Roman"/>
          <w:sz w:val="24"/>
          <w:szCs w:val="24"/>
        </w:rPr>
        <w:t>diterima</w:t>
      </w:r>
      <w:proofErr w:type="spellEnd"/>
      <w:r w:rsidRPr="00B14ED8">
        <w:rPr>
          <w:rFonts w:ascii="Times New Roman" w:eastAsia="Times New Roman" w:hAnsi="Times New Roman" w:cs="Times New Roman"/>
          <w:sz w:val="24"/>
          <w:szCs w:val="24"/>
        </w:rPr>
        <w:t>.</w:t>
      </w:r>
      <w:r w:rsidR="0035533A" w:rsidRPr="00B14ED8">
        <w:rPr>
          <w:rFonts w:ascii="Times New Roman" w:eastAsia="Times New Roman" w:hAnsi="Times New Roman" w:cs="Times New Roman"/>
          <w:sz w:val="24"/>
          <w:szCs w:val="24"/>
        </w:rPr>
        <w:t xml:space="preserve"> </w:t>
      </w:r>
      <w:proofErr w:type="spellStart"/>
      <w:r w:rsidR="0035533A" w:rsidRPr="00B14ED8">
        <w:rPr>
          <w:rFonts w:ascii="Times New Roman" w:eastAsia="Times New Roman" w:hAnsi="Times New Roman" w:cs="Times New Roman"/>
          <w:sz w:val="24"/>
          <w:szCs w:val="24"/>
        </w:rPr>
        <w:t>Untuk</w:t>
      </w:r>
      <w:proofErr w:type="spellEnd"/>
      <w:r w:rsidR="0035533A" w:rsidRPr="00B14ED8">
        <w:rPr>
          <w:rFonts w:ascii="Times New Roman" w:eastAsia="Times New Roman" w:hAnsi="Times New Roman" w:cs="Times New Roman"/>
          <w:sz w:val="24"/>
          <w:szCs w:val="24"/>
        </w:rPr>
        <w:t xml:space="preserve"> </w:t>
      </w:r>
      <w:proofErr w:type="spellStart"/>
      <w:r w:rsidR="0035533A" w:rsidRPr="00B14ED8">
        <w:rPr>
          <w:rFonts w:ascii="Times New Roman" w:eastAsia="Times New Roman" w:hAnsi="Times New Roman" w:cs="Times New Roman"/>
          <w:sz w:val="24"/>
          <w:szCs w:val="24"/>
        </w:rPr>
        <w:t>arah</w:t>
      </w:r>
      <w:proofErr w:type="spellEnd"/>
      <w:r w:rsidR="0035533A" w:rsidRPr="00B14ED8">
        <w:rPr>
          <w:rFonts w:ascii="Times New Roman" w:eastAsia="Times New Roman" w:hAnsi="Times New Roman" w:cs="Times New Roman"/>
          <w:sz w:val="24"/>
          <w:szCs w:val="24"/>
        </w:rPr>
        <w:t xml:space="preserve"> </w:t>
      </w:r>
      <w:proofErr w:type="spellStart"/>
      <w:r w:rsidR="0035533A" w:rsidRPr="00B14ED8">
        <w:rPr>
          <w:rFonts w:ascii="Times New Roman" w:eastAsia="Times New Roman" w:hAnsi="Times New Roman" w:cs="Times New Roman"/>
          <w:sz w:val="24"/>
          <w:szCs w:val="24"/>
        </w:rPr>
        <w:t>moderasi</w:t>
      </w:r>
      <w:proofErr w:type="spellEnd"/>
      <w:r w:rsidR="0035533A" w:rsidRPr="00B14ED8">
        <w:rPr>
          <w:rFonts w:ascii="Times New Roman" w:eastAsia="Times New Roman" w:hAnsi="Times New Roman" w:cs="Times New Roman"/>
          <w:sz w:val="24"/>
          <w:szCs w:val="24"/>
        </w:rPr>
        <w:t xml:space="preserve"> </w:t>
      </w:r>
      <w:proofErr w:type="spellStart"/>
      <w:r w:rsidR="0035533A" w:rsidRPr="00B14ED8">
        <w:rPr>
          <w:rFonts w:ascii="Times New Roman" w:eastAsia="Times New Roman" w:hAnsi="Times New Roman" w:cs="Times New Roman"/>
          <w:sz w:val="24"/>
          <w:szCs w:val="24"/>
        </w:rPr>
        <w:t>terbukti</w:t>
      </w:r>
      <w:proofErr w:type="spellEnd"/>
      <w:r w:rsidR="0035533A" w:rsidRPr="00B14ED8">
        <w:rPr>
          <w:rFonts w:ascii="Times New Roman" w:eastAsia="Times New Roman" w:hAnsi="Times New Roman" w:cs="Times New Roman"/>
          <w:sz w:val="24"/>
          <w:szCs w:val="24"/>
        </w:rPr>
        <w:t xml:space="preserve"> </w:t>
      </w:r>
      <w:proofErr w:type="spellStart"/>
      <w:r w:rsidR="0035533A" w:rsidRPr="00B14ED8">
        <w:rPr>
          <w:rFonts w:ascii="Times New Roman" w:eastAsia="Times New Roman" w:hAnsi="Times New Roman" w:cs="Times New Roman"/>
          <w:sz w:val="24"/>
          <w:szCs w:val="24"/>
        </w:rPr>
        <w:t>negatif</w:t>
      </w:r>
      <w:proofErr w:type="spellEnd"/>
      <w:r w:rsidR="0035533A" w:rsidRPr="00B14ED8">
        <w:rPr>
          <w:rFonts w:ascii="Times New Roman" w:eastAsia="Times New Roman" w:hAnsi="Times New Roman" w:cs="Times New Roman"/>
          <w:sz w:val="24"/>
          <w:szCs w:val="24"/>
        </w:rPr>
        <w:t xml:space="preserve"> </w:t>
      </w:r>
      <w:proofErr w:type="spellStart"/>
      <w:r w:rsidR="0035533A" w:rsidRPr="00B14ED8">
        <w:rPr>
          <w:rFonts w:ascii="Times New Roman" w:eastAsia="Times New Roman" w:hAnsi="Times New Roman" w:cs="Times New Roman"/>
          <w:sz w:val="24"/>
          <w:szCs w:val="24"/>
        </w:rPr>
        <w:t>sehingga</w:t>
      </w:r>
      <w:proofErr w:type="spellEnd"/>
      <w:r w:rsidR="0035533A" w:rsidRPr="00B14ED8">
        <w:rPr>
          <w:rFonts w:ascii="Times New Roman" w:eastAsia="Times New Roman" w:hAnsi="Times New Roman" w:cs="Times New Roman"/>
          <w:sz w:val="24"/>
          <w:szCs w:val="24"/>
        </w:rPr>
        <w:t xml:space="preserve"> </w:t>
      </w:r>
      <w:proofErr w:type="spellStart"/>
      <w:r w:rsidR="0035533A" w:rsidRPr="00B14ED8">
        <w:rPr>
          <w:rFonts w:ascii="Times New Roman" w:eastAsia="Times New Roman" w:hAnsi="Times New Roman" w:cs="Times New Roman"/>
          <w:sz w:val="24"/>
          <w:szCs w:val="24"/>
        </w:rPr>
        <w:t>sifat</w:t>
      </w:r>
      <w:proofErr w:type="spellEnd"/>
      <w:r w:rsidR="0035533A" w:rsidRPr="00B14ED8">
        <w:rPr>
          <w:rFonts w:ascii="Times New Roman" w:eastAsia="Times New Roman" w:hAnsi="Times New Roman" w:cs="Times New Roman"/>
          <w:sz w:val="24"/>
          <w:szCs w:val="24"/>
        </w:rPr>
        <w:t xml:space="preserve"> </w:t>
      </w:r>
      <w:proofErr w:type="spellStart"/>
      <w:r w:rsidR="0035533A" w:rsidRPr="00B14ED8">
        <w:rPr>
          <w:rFonts w:ascii="Times New Roman" w:eastAsia="Times New Roman" w:hAnsi="Times New Roman" w:cs="Times New Roman"/>
          <w:sz w:val="24"/>
          <w:szCs w:val="24"/>
        </w:rPr>
        <w:t>variabel</w:t>
      </w:r>
      <w:proofErr w:type="spellEnd"/>
      <w:r w:rsidR="0035533A" w:rsidRPr="00B14ED8">
        <w:rPr>
          <w:rFonts w:ascii="Times New Roman" w:eastAsia="Times New Roman" w:hAnsi="Times New Roman" w:cs="Times New Roman"/>
          <w:sz w:val="24"/>
          <w:szCs w:val="24"/>
        </w:rPr>
        <w:t xml:space="preserve"> </w:t>
      </w:r>
      <w:proofErr w:type="spellStart"/>
      <w:r w:rsidR="0035533A" w:rsidRPr="00B14ED8">
        <w:rPr>
          <w:rFonts w:ascii="Times New Roman" w:eastAsia="Times New Roman" w:hAnsi="Times New Roman" w:cs="Times New Roman"/>
          <w:sz w:val="24"/>
          <w:szCs w:val="24"/>
        </w:rPr>
        <w:t>manajemen</w:t>
      </w:r>
      <w:proofErr w:type="spellEnd"/>
      <w:r w:rsidR="0035533A" w:rsidRPr="00B14ED8">
        <w:rPr>
          <w:rFonts w:ascii="Times New Roman" w:eastAsia="Times New Roman" w:hAnsi="Times New Roman" w:cs="Times New Roman"/>
          <w:sz w:val="24"/>
          <w:szCs w:val="24"/>
        </w:rPr>
        <w:t xml:space="preserve"> </w:t>
      </w:r>
      <w:proofErr w:type="spellStart"/>
      <w:r w:rsidR="0035533A" w:rsidRPr="00B14ED8">
        <w:rPr>
          <w:rFonts w:ascii="Times New Roman" w:eastAsia="Times New Roman" w:hAnsi="Times New Roman" w:cs="Times New Roman"/>
          <w:sz w:val="24"/>
          <w:szCs w:val="24"/>
        </w:rPr>
        <w:t>risiko</w:t>
      </w:r>
      <w:proofErr w:type="spellEnd"/>
      <w:r w:rsidR="0035533A" w:rsidRPr="00B14ED8">
        <w:rPr>
          <w:rFonts w:ascii="Times New Roman" w:eastAsia="Times New Roman" w:hAnsi="Times New Roman" w:cs="Times New Roman"/>
          <w:sz w:val="24"/>
          <w:szCs w:val="24"/>
        </w:rPr>
        <w:t xml:space="preserve"> </w:t>
      </w:r>
      <w:proofErr w:type="spellStart"/>
      <w:r w:rsidR="0035533A" w:rsidRPr="00B14ED8">
        <w:rPr>
          <w:rFonts w:ascii="Times New Roman" w:eastAsia="Times New Roman" w:hAnsi="Times New Roman" w:cs="Times New Roman"/>
          <w:sz w:val="24"/>
          <w:szCs w:val="24"/>
        </w:rPr>
        <w:t>adalah</w:t>
      </w:r>
      <w:proofErr w:type="spellEnd"/>
      <w:r w:rsidR="0035533A" w:rsidRPr="00B14ED8">
        <w:rPr>
          <w:rFonts w:ascii="Times New Roman" w:eastAsia="Times New Roman" w:hAnsi="Times New Roman" w:cs="Times New Roman"/>
          <w:sz w:val="24"/>
          <w:szCs w:val="24"/>
        </w:rPr>
        <w:t xml:space="preserve"> </w:t>
      </w:r>
      <w:proofErr w:type="spellStart"/>
      <w:r w:rsidR="0035533A" w:rsidRPr="00B14ED8">
        <w:rPr>
          <w:rFonts w:ascii="Times New Roman" w:eastAsia="Times New Roman" w:hAnsi="Times New Roman" w:cs="Times New Roman"/>
          <w:sz w:val="24"/>
          <w:szCs w:val="24"/>
        </w:rPr>
        <w:t>melemahkan</w:t>
      </w:r>
      <w:proofErr w:type="spellEnd"/>
      <w:r w:rsidR="0035533A" w:rsidRPr="00B14ED8">
        <w:rPr>
          <w:rFonts w:ascii="Times New Roman" w:eastAsia="Times New Roman" w:hAnsi="Times New Roman" w:cs="Times New Roman"/>
          <w:sz w:val="24"/>
          <w:szCs w:val="24"/>
        </w:rPr>
        <w:t xml:space="preserve"> </w:t>
      </w:r>
      <w:proofErr w:type="spellStart"/>
      <w:r w:rsidR="0035533A" w:rsidRPr="00B14ED8">
        <w:rPr>
          <w:rFonts w:ascii="Times New Roman" w:eastAsia="Times New Roman" w:hAnsi="Times New Roman" w:cs="Times New Roman"/>
          <w:sz w:val="24"/>
          <w:szCs w:val="24"/>
        </w:rPr>
        <w:t>pengaruh</w:t>
      </w:r>
      <w:proofErr w:type="spellEnd"/>
      <w:r w:rsidR="0035533A" w:rsidRPr="00B14ED8">
        <w:rPr>
          <w:rFonts w:ascii="Times New Roman" w:eastAsia="Times New Roman" w:hAnsi="Times New Roman" w:cs="Times New Roman"/>
          <w:sz w:val="24"/>
          <w:szCs w:val="24"/>
        </w:rPr>
        <w:t xml:space="preserve"> </w:t>
      </w:r>
      <w:proofErr w:type="spellStart"/>
      <w:r w:rsidR="0035533A" w:rsidRPr="00B14ED8">
        <w:rPr>
          <w:rFonts w:ascii="Times New Roman" w:eastAsia="Times New Roman" w:hAnsi="Times New Roman" w:cs="Times New Roman"/>
          <w:sz w:val="24"/>
          <w:szCs w:val="24"/>
        </w:rPr>
        <w:t>pembiayaan</w:t>
      </w:r>
      <w:proofErr w:type="spellEnd"/>
      <w:r w:rsidR="0035533A" w:rsidRPr="00B14ED8">
        <w:rPr>
          <w:rFonts w:ascii="Times New Roman" w:eastAsia="Times New Roman" w:hAnsi="Times New Roman" w:cs="Times New Roman"/>
          <w:sz w:val="24"/>
          <w:szCs w:val="24"/>
        </w:rPr>
        <w:t xml:space="preserve"> </w:t>
      </w:r>
      <w:proofErr w:type="spellStart"/>
      <w:r w:rsidR="0035533A" w:rsidRPr="00B14ED8">
        <w:rPr>
          <w:rFonts w:ascii="Times New Roman" w:eastAsia="Times New Roman" w:hAnsi="Times New Roman" w:cs="Times New Roman"/>
          <w:i/>
          <w:iCs/>
          <w:sz w:val="24"/>
          <w:szCs w:val="24"/>
        </w:rPr>
        <w:t>mu</w:t>
      </w:r>
      <w:r w:rsidR="00530D99" w:rsidRPr="00B14ED8">
        <w:rPr>
          <w:rFonts w:ascii="Times New Roman" w:eastAsia="Times New Roman" w:hAnsi="Times New Roman" w:cs="Times New Roman"/>
          <w:i/>
          <w:iCs/>
          <w:sz w:val="24"/>
          <w:szCs w:val="24"/>
        </w:rPr>
        <w:t>syarakah</w:t>
      </w:r>
      <w:proofErr w:type="spellEnd"/>
      <w:r w:rsidR="0035533A" w:rsidRPr="00B14ED8">
        <w:rPr>
          <w:rFonts w:ascii="Times New Roman" w:eastAsia="Times New Roman" w:hAnsi="Times New Roman" w:cs="Times New Roman"/>
          <w:i/>
          <w:iCs/>
          <w:sz w:val="24"/>
          <w:szCs w:val="24"/>
        </w:rPr>
        <w:t xml:space="preserve"> </w:t>
      </w:r>
      <w:proofErr w:type="spellStart"/>
      <w:r w:rsidR="0035533A" w:rsidRPr="00B14ED8">
        <w:rPr>
          <w:rFonts w:ascii="Times New Roman" w:eastAsia="Times New Roman" w:hAnsi="Times New Roman" w:cs="Times New Roman"/>
          <w:sz w:val="24"/>
          <w:szCs w:val="24"/>
        </w:rPr>
        <w:t>terhadap</w:t>
      </w:r>
      <w:proofErr w:type="spellEnd"/>
      <w:r w:rsidR="0035533A" w:rsidRPr="00B14ED8">
        <w:rPr>
          <w:rFonts w:ascii="Times New Roman" w:eastAsia="Times New Roman" w:hAnsi="Times New Roman" w:cs="Times New Roman"/>
          <w:sz w:val="24"/>
          <w:szCs w:val="24"/>
        </w:rPr>
        <w:t xml:space="preserve"> </w:t>
      </w:r>
      <w:proofErr w:type="spellStart"/>
      <w:r w:rsidR="0035533A" w:rsidRPr="00B14ED8">
        <w:rPr>
          <w:rFonts w:ascii="Times New Roman" w:eastAsia="Times New Roman" w:hAnsi="Times New Roman" w:cs="Times New Roman"/>
          <w:sz w:val="24"/>
          <w:szCs w:val="24"/>
        </w:rPr>
        <w:t>kinerja</w:t>
      </w:r>
      <w:proofErr w:type="spellEnd"/>
      <w:r w:rsidR="0035533A" w:rsidRPr="00B14ED8">
        <w:rPr>
          <w:rFonts w:ascii="Times New Roman" w:eastAsia="Times New Roman" w:hAnsi="Times New Roman" w:cs="Times New Roman"/>
          <w:sz w:val="24"/>
          <w:szCs w:val="24"/>
        </w:rPr>
        <w:t xml:space="preserve"> </w:t>
      </w:r>
      <w:proofErr w:type="spellStart"/>
      <w:r w:rsidR="0035533A" w:rsidRPr="00B14ED8">
        <w:rPr>
          <w:rFonts w:ascii="Times New Roman" w:eastAsia="Times New Roman" w:hAnsi="Times New Roman" w:cs="Times New Roman"/>
          <w:sz w:val="24"/>
          <w:szCs w:val="24"/>
        </w:rPr>
        <w:t>keuangan</w:t>
      </w:r>
      <w:proofErr w:type="spellEnd"/>
      <w:r w:rsidR="0035533A" w:rsidRPr="00B14ED8">
        <w:rPr>
          <w:rFonts w:ascii="Times New Roman" w:eastAsia="Times New Roman" w:hAnsi="Times New Roman" w:cs="Times New Roman"/>
          <w:sz w:val="24"/>
          <w:szCs w:val="24"/>
        </w:rPr>
        <w:t>.</w:t>
      </w:r>
      <w:r w:rsidR="00003A92" w:rsidRPr="00B14ED8">
        <w:rPr>
          <w:rFonts w:ascii="Times New Roman" w:eastAsia="Times New Roman" w:hAnsi="Times New Roman" w:cs="Times New Roman"/>
          <w:sz w:val="24"/>
          <w:szCs w:val="24"/>
        </w:rPr>
        <w:t xml:space="preserve"> </w:t>
      </w:r>
      <w:proofErr w:type="spellStart"/>
      <w:r w:rsidR="00003A92" w:rsidRPr="00B14ED8">
        <w:rPr>
          <w:rFonts w:ascii="Times New Roman" w:eastAsia="Times New Roman" w:hAnsi="Times New Roman" w:cs="Times New Roman"/>
          <w:sz w:val="24"/>
          <w:szCs w:val="24"/>
        </w:rPr>
        <w:t>Artinya</w:t>
      </w:r>
      <w:proofErr w:type="spellEnd"/>
      <w:r w:rsidR="00003A92" w:rsidRPr="00B14ED8">
        <w:rPr>
          <w:rFonts w:ascii="Times New Roman" w:eastAsia="Times New Roman" w:hAnsi="Times New Roman" w:cs="Times New Roman"/>
          <w:sz w:val="24"/>
          <w:szCs w:val="24"/>
        </w:rPr>
        <w:t xml:space="preserve"> </w:t>
      </w:r>
      <w:proofErr w:type="spellStart"/>
      <w:r w:rsidR="00F32DF4" w:rsidRPr="00B14ED8">
        <w:rPr>
          <w:rFonts w:ascii="Times New Roman" w:eastAsia="Times New Roman" w:hAnsi="Times New Roman" w:cs="Times New Roman"/>
          <w:sz w:val="24"/>
          <w:szCs w:val="24"/>
        </w:rPr>
        <w:t>meskipun</w:t>
      </w:r>
      <w:proofErr w:type="spellEnd"/>
      <w:r w:rsidR="00B725F6" w:rsidRPr="00B14ED8">
        <w:rPr>
          <w:rFonts w:ascii="Times New Roman" w:eastAsia="Times New Roman" w:hAnsi="Times New Roman" w:cs="Times New Roman"/>
          <w:sz w:val="24"/>
          <w:szCs w:val="24"/>
        </w:rPr>
        <w:t xml:space="preserve"> </w:t>
      </w:r>
      <w:proofErr w:type="spellStart"/>
      <w:r w:rsidR="001A3C84" w:rsidRPr="00B14ED8">
        <w:rPr>
          <w:rFonts w:ascii="Times New Roman" w:eastAsia="Times New Roman" w:hAnsi="Times New Roman" w:cs="Times New Roman"/>
          <w:sz w:val="24"/>
          <w:szCs w:val="24"/>
        </w:rPr>
        <w:t>pembiayaan</w:t>
      </w:r>
      <w:proofErr w:type="spellEnd"/>
      <w:r w:rsidR="001A3C84" w:rsidRPr="00B14ED8">
        <w:rPr>
          <w:rFonts w:ascii="Times New Roman" w:eastAsia="Times New Roman" w:hAnsi="Times New Roman" w:cs="Times New Roman"/>
          <w:sz w:val="24"/>
          <w:szCs w:val="24"/>
        </w:rPr>
        <w:t xml:space="preserve"> </w:t>
      </w:r>
      <w:proofErr w:type="spellStart"/>
      <w:r w:rsidR="001A3C84" w:rsidRPr="00B14ED8">
        <w:rPr>
          <w:rFonts w:ascii="Times New Roman" w:eastAsia="Times New Roman" w:hAnsi="Times New Roman" w:cs="Times New Roman"/>
          <w:i/>
          <w:iCs/>
          <w:sz w:val="24"/>
          <w:szCs w:val="24"/>
        </w:rPr>
        <w:t>musyarakah</w:t>
      </w:r>
      <w:proofErr w:type="spellEnd"/>
      <w:r w:rsidR="001A3C84" w:rsidRPr="00B14ED8">
        <w:rPr>
          <w:rFonts w:ascii="Times New Roman" w:eastAsia="Times New Roman" w:hAnsi="Times New Roman" w:cs="Times New Roman"/>
          <w:i/>
          <w:iCs/>
          <w:sz w:val="24"/>
          <w:szCs w:val="24"/>
        </w:rPr>
        <w:t xml:space="preserve"> </w:t>
      </w:r>
      <w:proofErr w:type="spellStart"/>
      <w:r w:rsidR="001A3C84" w:rsidRPr="00B14ED8">
        <w:rPr>
          <w:rFonts w:ascii="Times New Roman" w:eastAsia="Times New Roman" w:hAnsi="Times New Roman" w:cs="Times New Roman"/>
          <w:sz w:val="24"/>
          <w:szCs w:val="24"/>
        </w:rPr>
        <w:t>terbukti</w:t>
      </w:r>
      <w:proofErr w:type="spellEnd"/>
      <w:r w:rsidR="001A3C84" w:rsidRPr="00B14ED8">
        <w:rPr>
          <w:rFonts w:ascii="Times New Roman" w:eastAsia="Times New Roman" w:hAnsi="Times New Roman" w:cs="Times New Roman"/>
          <w:sz w:val="24"/>
          <w:szCs w:val="24"/>
        </w:rPr>
        <w:t xml:space="preserve"> </w:t>
      </w:r>
      <w:proofErr w:type="spellStart"/>
      <w:r w:rsidR="00A20D50" w:rsidRPr="00B14ED8">
        <w:rPr>
          <w:rFonts w:ascii="Times New Roman" w:eastAsia="Times New Roman" w:hAnsi="Times New Roman" w:cs="Times New Roman"/>
          <w:sz w:val="24"/>
          <w:szCs w:val="24"/>
        </w:rPr>
        <w:t>menghasilkan</w:t>
      </w:r>
      <w:proofErr w:type="spellEnd"/>
      <w:r w:rsidR="00A20D50" w:rsidRPr="00B14ED8">
        <w:rPr>
          <w:rFonts w:ascii="Times New Roman" w:eastAsia="Times New Roman" w:hAnsi="Times New Roman" w:cs="Times New Roman"/>
          <w:sz w:val="24"/>
          <w:szCs w:val="24"/>
        </w:rPr>
        <w:t xml:space="preserve"> </w:t>
      </w:r>
      <w:proofErr w:type="spellStart"/>
      <w:r w:rsidR="00A20D50" w:rsidRPr="00B14ED8">
        <w:rPr>
          <w:rFonts w:ascii="Times New Roman" w:eastAsia="Times New Roman" w:hAnsi="Times New Roman" w:cs="Times New Roman"/>
          <w:sz w:val="24"/>
          <w:szCs w:val="24"/>
        </w:rPr>
        <w:t>dampak</w:t>
      </w:r>
      <w:proofErr w:type="spellEnd"/>
      <w:r w:rsidR="00A20D50" w:rsidRPr="00B14ED8">
        <w:rPr>
          <w:rFonts w:ascii="Times New Roman" w:eastAsia="Times New Roman" w:hAnsi="Times New Roman" w:cs="Times New Roman"/>
          <w:sz w:val="24"/>
          <w:szCs w:val="24"/>
        </w:rPr>
        <w:t xml:space="preserve"> yang </w:t>
      </w:r>
      <w:proofErr w:type="spellStart"/>
      <w:r w:rsidR="00A20D50" w:rsidRPr="00B14ED8">
        <w:rPr>
          <w:rFonts w:ascii="Times New Roman" w:eastAsia="Times New Roman" w:hAnsi="Times New Roman" w:cs="Times New Roman"/>
          <w:sz w:val="24"/>
          <w:szCs w:val="24"/>
        </w:rPr>
        <w:t>positif</w:t>
      </w:r>
      <w:proofErr w:type="spellEnd"/>
      <w:r w:rsidR="00A20D50" w:rsidRPr="00B14ED8">
        <w:rPr>
          <w:rFonts w:ascii="Times New Roman" w:eastAsia="Times New Roman" w:hAnsi="Times New Roman" w:cs="Times New Roman"/>
          <w:sz w:val="24"/>
          <w:szCs w:val="24"/>
        </w:rPr>
        <w:t xml:space="preserve"> </w:t>
      </w:r>
      <w:proofErr w:type="spellStart"/>
      <w:r w:rsidR="00A20D50" w:rsidRPr="00B14ED8">
        <w:rPr>
          <w:rFonts w:ascii="Times New Roman" w:eastAsia="Times New Roman" w:hAnsi="Times New Roman" w:cs="Times New Roman"/>
          <w:sz w:val="24"/>
          <w:szCs w:val="24"/>
        </w:rPr>
        <w:t>terhadap</w:t>
      </w:r>
      <w:proofErr w:type="spellEnd"/>
      <w:r w:rsidR="00CA00E5" w:rsidRPr="00B14ED8">
        <w:rPr>
          <w:rFonts w:ascii="Times New Roman" w:eastAsia="Times New Roman" w:hAnsi="Times New Roman" w:cs="Times New Roman"/>
          <w:sz w:val="24"/>
          <w:szCs w:val="24"/>
        </w:rPr>
        <w:t xml:space="preserve"> </w:t>
      </w:r>
      <w:proofErr w:type="spellStart"/>
      <w:r w:rsidR="00F42EC7" w:rsidRPr="00B14ED8">
        <w:rPr>
          <w:rFonts w:ascii="Times New Roman" w:eastAsia="Times New Roman" w:hAnsi="Times New Roman" w:cs="Times New Roman"/>
          <w:sz w:val="24"/>
          <w:szCs w:val="24"/>
        </w:rPr>
        <w:t>nilai</w:t>
      </w:r>
      <w:proofErr w:type="spellEnd"/>
      <w:r w:rsidR="00F42EC7" w:rsidRPr="00B14ED8">
        <w:rPr>
          <w:rFonts w:ascii="Times New Roman" w:eastAsia="Times New Roman" w:hAnsi="Times New Roman" w:cs="Times New Roman"/>
          <w:sz w:val="24"/>
          <w:szCs w:val="24"/>
        </w:rPr>
        <w:t xml:space="preserve"> </w:t>
      </w:r>
      <w:proofErr w:type="spellStart"/>
      <w:r w:rsidR="00F42EC7" w:rsidRPr="00B14ED8">
        <w:rPr>
          <w:rFonts w:ascii="Times New Roman" w:eastAsia="Times New Roman" w:hAnsi="Times New Roman" w:cs="Times New Roman"/>
          <w:sz w:val="24"/>
          <w:szCs w:val="24"/>
        </w:rPr>
        <w:t>kinerja</w:t>
      </w:r>
      <w:proofErr w:type="spellEnd"/>
      <w:r w:rsidR="00F42EC7" w:rsidRPr="00B14ED8">
        <w:rPr>
          <w:rFonts w:ascii="Times New Roman" w:eastAsia="Times New Roman" w:hAnsi="Times New Roman" w:cs="Times New Roman"/>
          <w:sz w:val="24"/>
          <w:szCs w:val="24"/>
        </w:rPr>
        <w:t xml:space="preserve"> </w:t>
      </w:r>
      <w:proofErr w:type="spellStart"/>
      <w:r w:rsidR="00F42EC7" w:rsidRPr="00B14ED8">
        <w:rPr>
          <w:rFonts w:ascii="Times New Roman" w:eastAsia="Times New Roman" w:hAnsi="Times New Roman" w:cs="Times New Roman"/>
          <w:sz w:val="24"/>
          <w:szCs w:val="24"/>
        </w:rPr>
        <w:t>keuangan</w:t>
      </w:r>
      <w:proofErr w:type="spellEnd"/>
      <w:r w:rsidR="00F42EC7" w:rsidRPr="00B14ED8">
        <w:rPr>
          <w:rFonts w:ascii="Times New Roman" w:eastAsia="Times New Roman" w:hAnsi="Times New Roman" w:cs="Times New Roman"/>
          <w:sz w:val="24"/>
          <w:szCs w:val="24"/>
        </w:rPr>
        <w:t xml:space="preserve"> </w:t>
      </w:r>
      <w:proofErr w:type="spellStart"/>
      <w:r w:rsidR="00F42EC7" w:rsidRPr="00B14ED8">
        <w:rPr>
          <w:rFonts w:ascii="Times New Roman" w:eastAsia="Times New Roman" w:hAnsi="Times New Roman" w:cs="Times New Roman"/>
          <w:sz w:val="24"/>
          <w:szCs w:val="24"/>
        </w:rPr>
        <w:t>perbankan</w:t>
      </w:r>
      <w:proofErr w:type="spellEnd"/>
      <w:r w:rsidR="00F42EC7" w:rsidRPr="00B14ED8">
        <w:rPr>
          <w:rFonts w:ascii="Times New Roman" w:eastAsia="Times New Roman" w:hAnsi="Times New Roman" w:cs="Times New Roman"/>
          <w:sz w:val="24"/>
          <w:szCs w:val="24"/>
        </w:rPr>
        <w:t xml:space="preserve"> </w:t>
      </w:r>
      <w:proofErr w:type="spellStart"/>
      <w:r w:rsidR="00BC6BC1" w:rsidRPr="00B14ED8">
        <w:rPr>
          <w:rFonts w:ascii="Times New Roman" w:eastAsia="Times New Roman" w:hAnsi="Times New Roman" w:cs="Times New Roman"/>
          <w:sz w:val="24"/>
          <w:szCs w:val="24"/>
        </w:rPr>
        <w:t>akan</w:t>
      </w:r>
      <w:proofErr w:type="spellEnd"/>
      <w:r w:rsidR="00BC6BC1" w:rsidRPr="00B14ED8">
        <w:rPr>
          <w:rFonts w:ascii="Times New Roman" w:eastAsia="Times New Roman" w:hAnsi="Times New Roman" w:cs="Times New Roman"/>
          <w:sz w:val="24"/>
          <w:szCs w:val="24"/>
        </w:rPr>
        <w:t xml:space="preserve"> </w:t>
      </w:r>
      <w:proofErr w:type="spellStart"/>
      <w:r w:rsidR="00BC6BC1" w:rsidRPr="00B14ED8">
        <w:rPr>
          <w:rFonts w:ascii="Times New Roman" w:eastAsia="Times New Roman" w:hAnsi="Times New Roman" w:cs="Times New Roman"/>
          <w:sz w:val="24"/>
          <w:szCs w:val="24"/>
        </w:rPr>
        <w:t>tetapi</w:t>
      </w:r>
      <w:proofErr w:type="spellEnd"/>
      <w:r w:rsidR="00BC6BC1" w:rsidRPr="00B14ED8">
        <w:rPr>
          <w:rFonts w:ascii="Times New Roman" w:eastAsia="Times New Roman" w:hAnsi="Times New Roman" w:cs="Times New Roman"/>
          <w:sz w:val="24"/>
          <w:szCs w:val="24"/>
        </w:rPr>
        <w:t xml:space="preserve"> </w:t>
      </w:r>
      <w:proofErr w:type="spellStart"/>
      <w:r w:rsidR="00BC6BC1" w:rsidRPr="00B14ED8">
        <w:rPr>
          <w:rFonts w:ascii="Times New Roman" w:eastAsia="Times New Roman" w:hAnsi="Times New Roman" w:cs="Times New Roman"/>
          <w:sz w:val="24"/>
          <w:szCs w:val="24"/>
        </w:rPr>
        <w:t>penerapan</w:t>
      </w:r>
      <w:proofErr w:type="spellEnd"/>
      <w:r w:rsidR="00BC6BC1" w:rsidRPr="00B14ED8">
        <w:rPr>
          <w:rFonts w:ascii="Times New Roman" w:eastAsia="Times New Roman" w:hAnsi="Times New Roman" w:cs="Times New Roman"/>
          <w:sz w:val="24"/>
          <w:szCs w:val="24"/>
        </w:rPr>
        <w:t xml:space="preserve"> </w:t>
      </w:r>
      <w:proofErr w:type="spellStart"/>
      <w:r w:rsidR="00BC6BC1" w:rsidRPr="00B14ED8">
        <w:rPr>
          <w:rFonts w:ascii="Times New Roman" w:eastAsia="Times New Roman" w:hAnsi="Times New Roman" w:cs="Times New Roman"/>
          <w:sz w:val="24"/>
          <w:szCs w:val="24"/>
        </w:rPr>
        <w:t>manajemen</w:t>
      </w:r>
      <w:proofErr w:type="spellEnd"/>
      <w:r w:rsidR="00BC6BC1" w:rsidRPr="00B14ED8">
        <w:rPr>
          <w:rFonts w:ascii="Times New Roman" w:eastAsia="Times New Roman" w:hAnsi="Times New Roman" w:cs="Times New Roman"/>
          <w:sz w:val="24"/>
          <w:szCs w:val="24"/>
        </w:rPr>
        <w:t xml:space="preserve"> </w:t>
      </w:r>
      <w:proofErr w:type="spellStart"/>
      <w:r w:rsidR="00BC6BC1" w:rsidRPr="00B14ED8">
        <w:rPr>
          <w:rFonts w:ascii="Times New Roman" w:eastAsia="Times New Roman" w:hAnsi="Times New Roman" w:cs="Times New Roman"/>
          <w:sz w:val="24"/>
          <w:szCs w:val="24"/>
        </w:rPr>
        <w:t>risiko</w:t>
      </w:r>
      <w:proofErr w:type="spellEnd"/>
      <w:r w:rsidR="00BC6BC1" w:rsidRPr="00B14ED8">
        <w:rPr>
          <w:rFonts w:ascii="Times New Roman" w:eastAsia="Times New Roman" w:hAnsi="Times New Roman" w:cs="Times New Roman"/>
          <w:sz w:val="24"/>
          <w:szCs w:val="24"/>
        </w:rPr>
        <w:t xml:space="preserve"> yang </w:t>
      </w:r>
      <w:proofErr w:type="spellStart"/>
      <w:r w:rsidR="00BC6BC1" w:rsidRPr="00B14ED8">
        <w:rPr>
          <w:rFonts w:ascii="Times New Roman" w:eastAsia="Times New Roman" w:hAnsi="Times New Roman" w:cs="Times New Roman"/>
          <w:sz w:val="24"/>
          <w:szCs w:val="24"/>
        </w:rPr>
        <w:t>dilakukan</w:t>
      </w:r>
      <w:proofErr w:type="spellEnd"/>
      <w:r w:rsidR="00BC6BC1" w:rsidRPr="00B14ED8">
        <w:rPr>
          <w:rFonts w:ascii="Times New Roman" w:eastAsia="Times New Roman" w:hAnsi="Times New Roman" w:cs="Times New Roman"/>
          <w:sz w:val="24"/>
          <w:szCs w:val="24"/>
        </w:rPr>
        <w:t xml:space="preserve"> </w:t>
      </w:r>
      <w:proofErr w:type="spellStart"/>
      <w:r w:rsidR="00BC6BC1" w:rsidRPr="00B14ED8">
        <w:rPr>
          <w:rFonts w:ascii="Times New Roman" w:eastAsia="Times New Roman" w:hAnsi="Times New Roman" w:cs="Times New Roman"/>
          <w:sz w:val="24"/>
          <w:szCs w:val="24"/>
        </w:rPr>
        <w:t>pihak</w:t>
      </w:r>
      <w:proofErr w:type="spellEnd"/>
      <w:r w:rsidR="00BC6BC1" w:rsidRPr="00B14ED8">
        <w:rPr>
          <w:rFonts w:ascii="Times New Roman" w:eastAsia="Times New Roman" w:hAnsi="Times New Roman" w:cs="Times New Roman"/>
          <w:sz w:val="24"/>
          <w:szCs w:val="24"/>
        </w:rPr>
        <w:t xml:space="preserve"> </w:t>
      </w:r>
      <w:proofErr w:type="spellStart"/>
      <w:r w:rsidR="00BC6BC1" w:rsidRPr="00B14ED8">
        <w:rPr>
          <w:rFonts w:ascii="Times New Roman" w:eastAsia="Times New Roman" w:hAnsi="Times New Roman" w:cs="Times New Roman"/>
          <w:sz w:val="24"/>
          <w:szCs w:val="24"/>
        </w:rPr>
        <w:t>perbankan</w:t>
      </w:r>
      <w:proofErr w:type="spellEnd"/>
      <w:r w:rsidR="00B06683" w:rsidRPr="00B14ED8">
        <w:rPr>
          <w:rFonts w:ascii="Times New Roman" w:eastAsia="Times New Roman" w:hAnsi="Times New Roman" w:cs="Times New Roman"/>
          <w:sz w:val="24"/>
          <w:szCs w:val="24"/>
        </w:rPr>
        <w:t xml:space="preserve"> </w:t>
      </w:r>
      <w:proofErr w:type="spellStart"/>
      <w:r w:rsidR="00B06683" w:rsidRPr="00B14ED8">
        <w:rPr>
          <w:rFonts w:ascii="Times New Roman" w:eastAsia="Times New Roman" w:hAnsi="Times New Roman" w:cs="Times New Roman"/>
          <w:sz w:val="24"/>
          <w:szCs w:val="24"/>
        </w:rPr>
        <w:t>terhadap</w:t>
      </w:r>
      <w:proofErr w:type="spellEnd"/>
      <w:r w:rsidR="00B06683" w:rsidRPr="00B14ED8">
        <w:rPr>
          <w:rFonts w:ascii="Times New Roman" w:eastAsia="Times New Roman" w:hAnsi="Times New Roman" w:cs="Times New Roman"/>
          <w:sz w:val="24"/>
          <w:szCs w:val="24"/>
        </w:rPr>
        <w:t xml:space="preserve"> </w:t>
      </w:r>
      <w:proofErr w:type="spellStart"/>
      <w:r w:rsidR="00B06683" w:rsidRPr="00B14ED8">
        <w:rPr>
          <w:rFonts w:ascii="Times New Roman" w:eastAsia="Times New Roman" w:hAnsi="Times New Roman" w:cs="Times New Roman"/>
          <w:sz w:val="24"/>
          <w:szCs w:val="24"/>
        </w:rPr>
        <w:t>sistem</w:t>
      </w:r>
      <w:proofErr w:type="spellEnd"/>
      <w:r w:rsidR="00B06683" w:rsidRPr="00B14ED8">
        <w:rPr>
          <w:rFonts w:ascii="Times New Roman" w:eastAsia="Times New Roman" w:hAnsi="Times New Roman" w:cs="Times New Roman"/>
          <w:sz w:val="24"/>
          <w:szCs w:val="24"/>
        </w:rPr>
        <w:t xml:space="preserve"> PLS juga </w:t>
      </w:r>
      <w:proofErr w:type="spellStart"/>
      <w:r w:rsidR="00B06683" w:rsidRPr="00B14ED8">
        <w:rPr>
          <w:rFonts w:ascii="Times New Roman" w:eastAsia="Times New Roman" w:hAnsi="Times New Roman" w:cs="Times New Roman"/>
          <w:sz w:val="24"/>
          <w:szCs w:val="24"/>
        </w:rPr>
        <w:t>relatif</w:t>
      </w:r>
      <w:proofErr w:type="spellEnd"/>
      <w:r w:rsidR="00B06683" w:rsidRPr="00B14ED8">
        <w:rPr>
          <w:rFonts w:ascii="Times New Roman" w:eastAsia="Times New Roman" w:hAnsi="Times New Roman" w:cs="Times New Roman"/>
          <w:sz w:val="24"/>
          <w:szCs w:val="24"/>
        </w:rPr>
        <w:t xml:space="preserve"> </w:t>
      </w:r>
      <w:proofErr w:type="spellStart"/>
      <w:r w:rsidR="004238B6" w:rsidRPr="00B14ED8">
        <w:rPr>
          <w:rFonts w:ascii="Times New Roman" w:eastAsia="Times New Roman" w:hAnsi="Times New Roman" w:cs="Times New Roman"/>
          <w:sz w:val="24"/>
          <w:szCs w:val="24"/>
        </w:rPr>
        <w:t>ketat</w:t>
      </w:r>
      <w:proofErr w:type="spellEnd"/>
      <w:r w:rsidR="004238B6" w:rsidRPr="00B14ED8">
        <w:rPr>
          <w:rFonts w:ascii="Times New Roman" w:eastAsia="Times New Roman" w:hAnsi="Times New Roman" w:cs="Times New Roman"/>
          <w:sz w:val="24"/>
          <w:szCs w:val="24"/>
        </w:rPr>
        <w:t xml:space="preserve"> </w:t>
      </w:r>
      <w:proofErr w:type="spellStart"/>
      <w:r w:rsidR="00D72AF9" w:rsidRPr="00B14ED8">
        <w:rPr>
          <w:rFonts w:ascii="Times New Roman" w:eastAsia="Times New Roman" w:hAnsi="Times New Roman" w:cs="Times New Roman"/>
          <w:sz w:val="24"/>
          <w:szCs w:val="24"/>
        </w:rPr>
        <w:t>sehingga</w:t>
      </w:r>
      <w:proofErr w:type="spellEnd"/>
      <w:r w:rsidR="00D72AF9" w:rsidRPr="00B14ED8">
        <w:rPr>
          <w:rFonts w:ascii="Times New Roman" w:eastAsia="Times New Roman" w:hAnsi="Times New Roman" w:cs="Times New Roman"/>
          <w:sz w:val="24"/>
          <w:szCs w:val="24"/>
        </w:rPr>
        <w:t xml:space="preserve"> </w:t>
      </w:r>
      <w:proofErr w:type="spellStart"/>
      <w:r w:rsidR="00D72AF9" w:rsidRPr="00B14ED8">
        <w:rPr>
          <w:rFonts w:ascii="Times New Roman" w:eastAsia="Times New Roman" w:hAnsi="Times New Roman" w:cs="Times New Roman"/>
          <w:sz w:val="24"/>
          <w:szCs w:val="24"/>
        </w:rPr>
        <w:t>p</w:t>
      </w:r>
      <w:r w:rsidR="005931B7" w:rsidRPr="00B14ED8">
        <w:rPr>
          <w:rFonts w:ascii="Times New Roman" w:eastAsia="Times New Roman" w:hAnsi="Times New Roman" w:cs="Times New Roman"/>
          <w:sz w:val="24"/>
          <w:szCs w:val="24"/>
        </w:rPr>
        <w:t>eluang</w:t>
      </w:r>
      <w:proofErr w:type="spellEnd"/>
      <w:r w:rsidR="005931B7" w:rsidRPr="00B14ED8">
        <w:rPr>
          <w:rFonts w:ascii="Times New Roman" w:eastAsia="Times New Roman" w:hAnsi="Times New Roman" w:cs="Times New Roman"/>
          <w:sz w:val="24"/>
          <w:szCs w:val="24"/>
        </w:rPr>
        <w:t xml:space="preserve"> </w:t>
      </w:r>
      <w:proofErr w:type="spellStart"/>
      <w:r w:rsidR="00D72AF9" w:rsidRPr="00B14ED8">
        <w:rPr>
          <w:rFonts w:ascii="Times New Roman" w:eastAsia="Times New Roman" w:hAnsi="Times New Roman" w:cs="Times New Roman"/>
          <w:sz w:val="24"/>
          <w:szCs w:val="24"/>
        </w:rPr>
        <w:t>perolehan</w:t>
      </w:r>
      <w:proofErr w:type="spellEnd"/>
      <w:r w:rsidR="00D72AF9" w:rsidRPr="00B14ED8">
        <w:rPr>
          <w:rFonts w:ascii="Times New Roman" w:eastAsia="Times New Roman" w:hAnsi="Times New Roman" w:cs="Times New Roman"/>
          <w:sz w:val="24"/>
          <w:szCs w:val="24"/>
        </w:rPr>
        <w:t xml:space="preserve"> </w:t>
      </w:r>
      <w:r w:rsidR="007C67E1" w:rsidRPr="00B14ED8">
        <w:rPr>
          <w:rFonts w:ascii="Times New Roman" w:eastAsia="Times New Roman" w:hAnsi="Times New Roman" w:cs="Times New Roman"/>
          <w:sz w:val="24"/>
          <w:szCs w:val="24"/>
        </w:rPr>
        <w:t xml:space="preserve">profit </w:t>
      </w:r>
      <w:proofErr w:type="spellStart"/>
      <w:r w:rsidR="007C67E1" w:rsidRPr="00B14ED8">
        <w:rPr>
          <w:rFonts w:ascii="Times New Roman" w:eastAsia="Times New Roman" w:hAnsi="Times New Roman" w:cs="Times New Roman"/>
          <w:sz w:val="24"/>
          <w:szCs w:val="24"/>
        </w:rPr>
        <w:t>dari</w:t>
      </w:r>
      <w:proofErr w:type="spellEnd"/>
      <w:r w:rsidR="007C67E1" w:rsidRPr="00B14ED8">
        <w:rPr>
          <w:rFonts w:ascii="Times New Roman" w:eastAsia="Times New Roman" w:hAnsi="Times New Roman" w:cs="Times New Roman"/>
          <w:sz w:val="24"/>
          <w:szCs w:val="24"/>
        </w:rPr>
        <w:t xml:space="preserve"> </w:t>
      </w:r>
      <w:proofErr w:type="spellStart"/>
      <w:r w:rsidR="007C67E1" w:rsidRPr="00B14ED8">
        <w:rPr>
          <w:rFonts w:ascii="Times New Roman" w:eastAsia="Times New Roman" w:hAnsi="Times New Roman" w:cs="Times New Roman"/>
          <w:sz w:val="24"/>
          <w:szCs w:val="24"/>
        </w:rPr>
        <w:t>investasi</w:t>
      </w:r>
      <w:proofErr w:type="spellEnd"/>
      <w:r w:rsidR="007C67E1" w:rsidRPr="00B14ED8">
        <w:rPr>
          <w:rFonts w:ascii="Times New Roman" w:eastAsia="Times New Roman" w:hAnsi="Times New Roman" w:cs="Times New Roman"/>
          <w:sz w:val="24"/>
          <w:szCs w:val="24"/>
        </w:rPr>
        <w:t xml:space="preserve"> </w:t>
      </w:r>
      <w:proofErr w:type="spellStart"/>
      <w:r w:rsidR="007C67E1" w:rsidRPr="00B14ED8">
        <w:rPr>
          <w:rFonts w:ascii="Times New Roman" w:eastAsia="Times New Roman" w:hAnsi="Times New Roman" w:cs="Times New Roman"/>
          <w:i/>
          <w:iCs/>
          <w:sz w:val="24"/>
          <w:szCs w:val="24"/>
        </w:rPr>
        <w:t>musyarakah</w:t>
      </w:r>
      <w:proofErr w:type="spellEnd"/>
      <w:r w:rsidR="007C67E1" w:rsidRPr="00B14ED8">
        <w:rPr>
          <w:rFonts w:ascii="Times New Roman" w:eastAsia="Times New Roman" w:hAnsi="Times New Roman" w:cs="Times New Roman"/>
          <w:i/>
          <w:iCs/>
          <w:sz w:val="24"/>
          <w:szCs w:val="24"/>
        </w:rPr>
        <w:t xml:space="preserve"> </w:t>
      </w:r>
      <w:proofErr w:type="spellStart"/>
      <w:r w:rsidR="00447674" w:rsidRPr="00B14ED8">
        <w:rPr>
          <w:rFonts w:ascii="Times New Roman" w:eastAsia="Times New Roman" w:hAnsi="Times New Roman" w:cs="Times New Roman"/>
          <w:sz w:val="24"/>
          <w:szCs w:val="24"/>
        </w:rPr>
        <w:t>lebih</w:t>
      </w:r>
      <w:proofErr w:type="spellEnd"/>
      <w:r w:rsidR="00447674" w:rsidRPr="00B14ED8">
        <w:rPr>
          <w:rFonts w:ascii="Times New Roman" w:eastAsia="Times New Roman" w:hAnsi="Times New Roman" w:cs="Times New Roman"/>
          <w:sz w:val="24"/>
          <w:szCs w:val="24"/>
        </w:rPr>
        <w:t xml:space="preserve"> </w:t>
      </w:r>
      <w:proofErr w:type="spellStart"/>
      <w:r w:rsidR="00447674" w:rsidRPr="00B14ED8">
        <w:rPr>
          <w:rFonts w:ascii="Times New Roman" w:eastAsia="Times New Roman" w:hAnsi="Times New Roman" w:cs="Times New Roman"/>
          <w:sz w:val="24"/>
          <w:szCs w:val="24"/>
        </w:rPr>
        <w:t>ditekan</w:t>
      </w:r>
      <w:proofErr w:type="spellEnd"/>
      <w:r w:rsidR="00C24D85" w:rsidRPr="00B14ED8">
        <w:rPr>
          <w:rFonts w:ascii="Times New Roman" w:eastAsia="Times New Roman" w:hAnsi="Times New Roman" w:cs="Times New Roman"/>
          <w:sz w:val="24"/>
          <w:szCs w:val="24"/>
        </w:rPr>
        <w:t xml:space="preserve">. Hal </w:t>
      </w:r>
      <w:proofErr w:type="spellStart"/>
      <w:r w:rsidR="00C24D85" w:rsidRPr="00B14ED8">
        <w:rPr>
          <w:rFonts w:ascii="Times New Roman" w:eastAsia="Times New Roman" w:hAnsi="Times New Roman" w:cs="Times New Roman"/>
          <w:sz w:val="24"/>
          <w:szCs w:val="24"/>
        </w:rPr>
        <w:t>ini</w:t>
      </w:r>
      <w:proofErr w:type="spellEnd"/>
      <w:r w:rsidR="00F422BB" w:rsidRPr="00B14ED8">
        <w:rPr>
          <w:rFonts w:ascii="Times New Roman" w:eastAsia="Times New Roman" w:hAnsi="Times New Roman" w:cs="Times New Roman"/>
          <w:sz w:val="24"/>
          <w:szCs w:val="24"/>
        </w:rPr>
        <w:t xml:space="preserve"> </w:t>
      </w:r>
      <w:proofErr w:type="spellStart"/>
      <w:r w:rsidR="00447674" w:rsidRPr="00B14ED8">
        <w:rPr>
          <w:rFonts w:ascii="Times New Roman" w:eastAsia="Times New Roman" w:hAnsi="Times New Roman" w:cs="Times New Roman"/>
          <w:sz w:val="24"/>
          <w:szCs w:val="24"/>
        </w:rPr>
        <w:t>dikarenakan</w:t>
      </w:r>
      <w:proofErr w:type="spellEnd"/>
      <w:r w:rsidR="0057630B" w:rsidRPr="00B14ED8">
        <w:rPr>
          <w:rFonts w:ascii="Times New Roman" w:eastAsia="Times New Roman" w:hAnsi="Times New Roman" w:cs="Times New Roman"/>
          <w:sz w:val="24"/>
          <w:szCs w:val="24"/>
        </w:rPr>
        <w:t xml:space="preserve">, </w:t>
      </w:r>
      <w:proofErr w:type="spellStart"/>
      <w:r w:rsidR="00447674" w:rsidRPr="00B14ED8">
        <w:rPr>
          <w:rFonts w:ascii="Times New Roman" w:eastAsia="Times New Roman" w:hAnsi="Times New Roman" w:cs="Times New Roman"/>
          <w:sz w:val="24"/>
          <w:szCs w:val="24"/>
        </w:rPr>
        <w:t>pihak</w:t>
      </w:r>
      <w:proofErr w:type="spellEnd"/>
      <w:r w:rsidR="00447674" w:rsidRPr="00B14ED8">
        <w:rPr>
          <w:rFonts w:ascii="Times New Roman" w:eastAsia="Times New Roman" w:hAnsi="Times New Roman" w:cs="Times New Roman"/>
          <w:sz w:val="24"/>
          <w:szCs w:val="24"/>
        </w:rPr>
        <w:t xml:space="preserve"> </w:t>
      </w:r>
      <w:proofErr w:type="spellStart"/>
      <w:r w:rsidR="00447674" w:rsidRPr="00B14ED8">
        <w:rPr>
          <w:rFonts w:ascii="Times New Roman" w:eastAsia="Times New Roman" w:hAnsi="Times New Roman" w:cs="Times New Roman"/>
          <w:sz w:val="24"/>
          <w:szCs w:val="24"/>
        </w:rPr>
        <w:t>perbankan</w:t>
      </w:r>
      <w:proofErr w:type="spellEnd"/>
      <w:r w:rsidR="00447674" w:rsidRPr="00B14ED8">
        <w:rPr>
          <w:rFonts w:ascii="Times New Roman" w:eastAsia="Times New Roman" w:hAnsi="Times New Roman" w:cs="Times New Roman"/>
          <w:sz w:val="24"/>
          <w:szCs w:val="24"/>
        </w:rPr>
        <w:t xml:space="preserve"> </w:t>
      </w:r>
      <w:proofErr w:type="spellStart"/>
      <w:r w:rsidR="00447674" w:rsidRPr="00B14ED8">
        <w:rPr>
          <w:rFonts w:ascii="Times New Roman" w:eastAsia="Times New Roman" w:hAnsi="Times New Roman" w:cs="Times New Roman"/>
          <w:sz w:val="24"/>
          <w:szCs w:val="24"/>
        </w:rPr>
        <w:t>cenderung</w:t>
      </w:r>
      <w:proofErr w:type="spellEnd"/>
      <w:r w:rsidR="00447674" w:rsidRPr="00B14ED8">
        <w:rPr>
          <w:rFonts w:ascii="Times New Roman" w:eastAsia="Times New Roman" w:hAnsi="Times New Roman" w:cs="Times New Roman"/>
          <w:sz w:val="24"/>
          <w:szCs w:val="24"/>
        </w:rPr>
        <w:t xml:space="preserve"> </w:t>
      </w:r>
      <w:proofErr w:type="spellStart"/>
      <w:r w:rsidR="00447674" w:rsidRPr="00B14ED8">
        <w:rPr>
          <w:rFonts w:ascii="Times New Roman" w:eastAsia="Times New Roman" w:hAnsi="Times New Roman" w:cs="Times New Roman"/>
          <w:sz w:val="24"/>
          <w:szCs w:val="24"/>
        </w:rPr>
        <w:t>menghindari</w:t>
      </w:r>
      <w:proofErr w:type="spellEnd"/>
      <w:r w:rsidR="00447674" w:rsidRPr="00B14ED8">
        <w:rPr>
          <w:rFonts w:ascii="Times New Roman" w:eastAsia="Times New Roman" w:hAnsi="Times New Roman" w:cs="Times New Roman"/>
          <w:sz w:val="24"/>
          <w:szCs w:val="24"/>
        </w:rPr>
        <w:t xml:space="preserve"> </w:t>
      </w:r>
      <w:proofErr w:type="spellStart"/>
      <w:r w:rsidR="00447674" w:rsidRPr="00B14ED8">
        <w:rPr>
          <w:rFonts w:ascii="Times New Roman" w:eastAsia="Times New Roman" w:hAnsi="Times New Roman" w:cs="Times New Roman"/>
          <w:sz w:val="24"/>
          <w:szCs w:val="24"/>
        </w:rPr>
        <w:t>potensi</w:t>
      </w:r>
      <w:proofErr w:type="spellEnd"/>
      <w:r w:rsidR="00447674" w:rsidRPr="00B14ED8">
        <w:rPr>
          <w:rFonts w:ascii="Times New Roman" w:eastAsia="Times New Roman" w:hAnsi="Times New Roman" w:cs="Times New Roman"/>
          <w:sz w:val="24"/>
          <w:szCs w:val="24"/>
        </w:rPr>
        <w:t xml:space="preserve"> </w:t>
      </w:r>
      <w:proofErr w:type="spellStart"/>
      <w:r w:rsidR="00447674" w:rsidRPr="00B14ED8">
        <w:rPr>
          <w:rFonts w:ascii="Times New Roman" w:eastAsia="Times New Roman" w:hAnsi="Times New Roman" w:cs="Times New Roman"/>
          <w:sz w:val="24"/>
          <w:szCs w:val="24"/>
        </w:rPr>
        <w:lastRenderedPageBreak/>
        <w:t>risiko</w:t>
      </w:r>
      <w:proofErr w:type="spellEnd"/>
      <w:r w:rsidR="00447674" w:rsidRPr="00B14ED8">
        <w:rPr>
          <w:rFonts w:ascii="Times New Roman" w:eastAsia="Times New Roman" w:hAnsi="Times New Roman" w:cs="Times New Roman"/>
          <w:sz w:val="24"/>
          <w:szCs w:val="24"/>
        </w:rPr>
        <w:t xml:space="preserve"> yang </w:t>
      </w:r>
      <w:proofErr w:type="spellStart"/>
      <w:r w:rsidR="00447674" w:rsidRPr="00B14ED8">
        <w:rPr>
          <w:rFonts w:ascii="Times New Roman" w:eastAsia="Times New Roman" w:hAnsi="Times New Roman" w:cs="Times New Roman"/>
          <w:sz w:val="24"/>
          <w:szCs w:val="24"/>
        </w:rPr>
        <w:t>dapat</w:t>
      </w:r>
      <w:proofErr w:type="spellEnd"/>
      <w:r w:rsidR="00447674" w:rsidRPr="00B14ED8">
        <w:rPr>
          <w:rFonts w:ascii="Times New Roman" w:eastAsia="Times New Roman" w:hAnsi="Times New Roman" w:cs="Times New Roman"/>
          <w:sz w:val="24"/>
          <w:szCs w:val="24"/>
        </w:rPr>
        <w:t xml:space="preserve"> </w:t>
      </w:r>
      <w:proofErr w:type="spellStart"/>
      <w:r w:rsidR="009C14F4" w:rsidRPr="00B14ED8">
        <w:rPr>
          <w:rFonts w:ascii="Times New Roman" w:eastAsia="Times New Roman" w:hAnsi="Times New Roman" w:cs="Times New Roman"/>
          <w:sz w:val="24"/>
          <w:szCs w:val="24"/>
        </w:rPr>
        <w:t>terjadi</w:t>
      </w:r>
      <w:proofErr w:type="spellEnd"/>
      <w:r w:rsidR="009C14F4" w:rsidRPr="00B14ED8">
        <w:rPr>
          <w:rFonts w:ascii="Times New Roman" w:eastAsia="Times New Roman" w:hAnsi="Times New Roman" w:cs="Times New Roman"/>
          <w:sz w:val="24"/>
          <w:szCs w:val="24"/>
        </w:rPr>
        <w:t xml:space="preserve"> </w:t>
      </w:r>
      <w:proofErr w:type="spellStart"/>
      <w:r w:rsidR="002D4ACB" w:rsidRPr="00B14ED8">
        <w:rPr>
          <w:rFonts w:ascii="Times New Roman" w:eastAsia="Times New Roman" w:hAnsi="Times New Roman" w:cs="Times New Roman"/>
          <w:sz w:val="24"/>
          <w:szCs w:val="24"/>
        </w:rPr>
        <w:t>dalam</w:t>
      </w:r>
      <w:proofErr w:type="spellEnd"/>
      <w:r w:rsidR="002D4ACB" w:rsidRPr="00B14ED8">
        <w:rPr>
          <w:rFonts w:ascii="Times New Roman" w:eastAsia="Times New Roman" w:hAnsi="Times New Roman" w:cs="Times New Roman"/>
          <w:sz w:val="24"/>
          <w:szCs w:val="24"/>
        </w:rPr>
        <w:t xml:space="preserve"> </w:t>
      </w:r>
      <w:proofErr w:type="spellStart"/>
      <w:r w:rsidR="002D4ACB" w:rsidRPr="00B14ED8">
        <w:rPr>
          <w:rFonts w:ascii="Times New Roman" w:eastAsia="Times New Roman" w:hAnsi="Times New Roman" w:cs="Times New Roman"/>
          <w:sz w:val="24"/>
          <w:szCs w:val="24"/>
        </w:rPr>
        <w:t>akad</w:t>
      </w:r>
      <w:proofErr w:type="spellEnd"/>
      <w:r w:rsidR="002D4ACB" w:rsidRPr="00B14ED8">
        <w:rPr>
          <w:rFonts w:ascii="Times New Roman" w:eastAsia="Times New Roman" w:hAnsi="Times New Roman" w:cs="Times New Roman"/>
          <w:sz w:val="24"/>
          <w:szCs w:val="24"/>
        </w:rPr>
        <w:t xml:space="preserve"> </w:t>
      </w:r>
      <w:proofErr w:type="spellStart"/>
      <w:r w:rsidR="002D4ACB" w:rsidRPr="00B14ED8">
        <w:rPr>
          <w:rFonts w:ascii="Times New Roman" w:eastAsia="Times New Roman" w:hAnsi="Times New Roman" w:cs="Times New Roman"/>
          <w:i/>
          <w:iCs/>
          <w:sz w:val="24"/>
          <w:szCs w:val="24"/>
        </w:rPr>
        <w:t>musyarakah</w:t>
      </w:r>
      <w:proofErr w:type="spellEnd"/>
      <w:r w:rsidR="002D4ACB" w:rsidRPr="00B14ED8">
        <w:rPr>
          <w:rFonts w:ascii="Times New Roman" w:eastAsia="Times New Roman" w:hAnsi="Times New Roman" w:cs="Times New Roman"/>
          <w:i/>
          <w:iCs/>
          <w:sz w:val="24"/>
          <w:szCs w:val="24"/>
        </w:rPr>
        <w:t xml:space="preserve"> </w:t>
      </w:r>
      <w:proofErr w:type="spellStart"/>
      <w:r w:rsidR="002D4ACB" w:rsidRPr="00B14ED8">
        <w:rPr>
          <w:rFonts w:ascii="Times New Roman" w:eastAsia="Times New Roman" w:hAnsi="Times New Roman" w:cs="Times New Roman"/>
          <w:sz w:val="24"/>
          <w:szCs w:val="24"/>
        </w:rPr>
        <w:t>dikarenakan</w:t>
      </w:r>
      <w:proofErr w:type="spellEnd"/>
      <w:r w:rsidR="002D4ACB" w:rsidRPr="00B14ED8">
        <w:rPr>
          <w:rFonts w:ascii="Times New Roman" w:eastAsia="Times New Roman" w:hAnsi="Times New Roman" w:cs="Times New Roman"/>
          <w:sz w:val="24"/>
          <w:szCs w:val="24"/>
        </w:rPr>
        <w:t xml:space="preserve"> </w:t>
      </w:r>
      <w:proofErr w:type="spellStart"/>
      <w:r w:rsidR="001C7A1C" w:rsidRPr="00B14ED8">
        <w:rPr>
          <w:rFonts w:ascii="Times New Roman" w:eastAsia="Times New Roman" w:hAnsi="Times New Roman" w:cs="Times New Roman"/>
          <w:sz w:val="24"/>
          <w:szCs w:val="24"/>
        </w:rPr>
        <w:t>permasalahan</w:t>
      </w:r>
      <w:proofErr w:type="spellEnd"/>
      <w:r w:rsidR="001C7A1C" w:rsidRPr="00B14ED8">
        <w:rPr>
          <w:rFonts w:ascii="Times New Roman" w:eastAsia="Times New Roman" w:hAnsi="Times New Roman" w:cs="Times New Roman"/>
          <w:sz w:val="24"/>
          <w:szCs w:val="24"/>
        </w:rPr>
        <w:t xml:space="preserve"> </w:t>
      </w:r>
      <w:proofErr w:type="spellStart"/>
      <w:r w:rsidR="009D77B7" w:rsidRPr="00B14ED8">
        <w:rPr>
          <w:rFonts w:ascii="Times New Roman" w:eastAsia="Times New Roman" w:hAnsi="Times New Roman" w:cs="Times New Roman"/>
          <w:sz w:val="24"/>
          <w:szCs w:val="24"/>
        </w:rPr>
        <w:t>informasi</w:t>
      </w:r>
      <w:proofErr w:type="spellEnd"/>
      <w:r w:rsidR="009D77B7" w:rsidRPr="00B14ED8">
        <w:rPr>
          <w:rFonts w:ascii="Times New Roman" w:eastAsia="Times New Roman" w:hAnsi="Times New Roman" w:cs="Times New Roman"/>
          <w:sz w:val="24"/>
          <w:szCs w:val="24"/>
        </w:rPr>
        <w:t xml:space="preserve"> </w:t>
      </w:r>
      <w:proofErr w:type="spellStart"/>
      <w:r w:rsidR="009D77B7" w:rsidRPr="00B14ED8">
        <w:rPr>
          <w:rFonts w:ascii="Times New Roman" w:eastAsia="Times New Roman" w:hAnsi="Times New Roman" w:cs="Times New Roman"/>
          <w:sz w:val="24"/>
          <w:szCs w:val="24"/>
        </w:rPr>
        <w:t>asimtris</w:t>
      </w:r>
      <w:proofErr w:type="spellEnd"/>
      <w:r w:rsidR="009D77B7" w:rsidRPr="00B14ED8">
        <w:rPr>
          <w:rFonts w:ascii="Times New Roman" w:eastAsia="Times New Roman" w:hAnsi="Times New Roman" w:cs="Times New Roman"/>
          <w:sz w:val="24"/>
          <w:szCs w:val="24"/>
        </w:rPr>
        <w:t xml:space="preserve"> </w:t>
      </w:r>
      <w:proofErr w:type="spellStart"/>
      <w:r w:rsidR="00621FC2" w:rsidRPr="00B14ED8">
        <w:rPr>
          <w:rFonts w:ascii="Times New Roman" w:eastAsia="Times New Roman" w:hAnsi="Times New Roman" w:cs="Times New Roman"/>
          <w:sz w:val="24"/>
          <w:szCs w:val="24"/>
        </w:rPr>
        <w:t>lebih</w:t>
      </w:r>
      <w:proofErr w:type="spellEnd"/>
      <w:r w:rsidR="00621FC2" w:rsidRPr="00B14ED8">
        <w:rPr>
          <w:rFonts w:ascii="Times New Roman" w:eastAsia="Times New Roman" w:hAnsi="Times New Roman" w:cs="Times New Roman"/>
          <w:sz w:val="24"/>
          <w:szCs w:val="24"/>
        </w:rPr>
        <w:t xml:space="preserve"> </w:t>
      </w:r>
      <w:proofErr w:type="spellStart"/>
      <w:r w:rsidR="00621FC2" w:rsidRPr="00B14ED8">
        <w:rPr>
          <w:rFonts w:ascii="Times New Roman" w:eastAsia="Times New Roman" w:hAnsi="Times New Roman" w:cs="Times New Roman"/>
          <w:sz w:val="24"/>
          <w:szCs w:val="24"/>
        </w:rPr>
        <w:t>rentan</w:t>
      </w:r>
      <w:proofErr w:type="spellEnd"/>
      <w:r w:rsidR="00621FC2" w:rsidRPr="00B14ED8">
        <w:rPr>
          <w:rFonts w:ascii="Times New Roman" w:eastAsia="Times New Roman" w:hAnsi="Times New Roman" w:cs="Times New Roman"/>
          <w:sz w:val="24"/>
          <w:szCs w:val="24"/>
        </w:rPr>
        <w:t xml:space="preserve"> </w:t>
      </w:r>
      <w:proofErr w:type="spellStart"/>
      <w:r w:rsidR="00621FC2" w:rsidRPr="00B14ED8">
        <w:rPr>
          <w:rFonts w:ascii="Times New Roman" w:eastAsia="Times New Roman" w:hAnsi="Times New Roman" w:cs="Times New Roman"/>
          <w:sz w:val="24"/>
          <w:szCs w:val="24"/>
        </w:rPr>
        <w:t>terjadi</w:t>
      </w:r>
      <w:proofErr w:type="spellEnd"/>
      <w:r w:rsidR="00621FC2" w:rsidRPr="00B14ED8">
        <w:rPr>
          <w:rFonts w:ascii="Times New Roman" w:eastAsia="Times New Roman" w:hAnsi="Times New Roman" w:cs="Times New Roman"/>
          <w:sz w:val="24"/>
          <w:szCs w:val="24"/>
        </w:rPr>
        <w:t xml:space="preserve"> pada </w:t>
      </w:r>
      <w:proofErr w:type="spellStart"/>
      <w:r w:rsidR="00621FC2" w:rsidRPr="00B14ED8">
        <w:rPr>
          <w:rFonts w:ascii="Times New Roman" w:eastAsia="Times New Roman" w:hAnsi="Times New Roman" w:cs="Times New Roman"/>
          <w:sz w:val="24"/>
          <w:szCs w:val="24"/>
        </w:rPr>
        <w:t>penerapan</w:t>
      </w:r>
      <w:proofErr w:type="spellEnd"/>
      <w:r w:rsidR="00621FC2" w:rsidRPr="00B14ED8">
        <w:rPr>
          <w:rFonts w:ascii="Times New Roman" w:eastAsia="Times New Roman" w:hAnsi="Times New Roman" w:cs="Times New Roman"/>
          <w:sz w:val="24"/>
          <w:szCs w:val="24"/>
        </w:rPr>
        <w:t xml:space="preserve"> </w:t>
      </w:r>
      <w:proofErr w:type="spellStart"/>
      <w:r w:rsidR="003657AE" w:rsidRPr="00B14ED8">
        <w:rPr>
          <w:rFonts w:ascii="Times New Roman" w:eastAsia="Times New Roman" w:hAnsi="Times New Roman" w:cs="Times New Roman"/>
          <w:sz w:val="24"/>
          <w:szCs w:val="24"/>
        </w:rPr>
        <w:t>tingkat</w:t>
      </w:r>
      <w:proofErr w:type="spellEnd"/>
      <w:r w:rsidR="003657AE" w:rsidRPr="00B14ED8">
        <w:rPr>
          <w:rFonts w:ascii="Times New Roman" w:eastAsia="Times New Roman" w:hAnsi="Times New Roman" w:cs="Times New Roman"/>
          <w:sz w:val="24"/>
          <w:szCs w:val="24"/>
        </w:rPr>
        <w:t xml:space="preserve"> </w:t>
      </w:r>
      <w:proofErr w:type="spellStart"/>
      <w:r w:rsidR="0057630B" w:rsidRPr="00B14ED8">
        <w:rPr>
          <w:rFonts w:ascii="Times New Roman" w:eastAsia="Times New Roman" w:hAnsi="Times New Roman" w:cs="Times New Roman"/>
          <w:sz w:val="24"/>
          <w:szCs w:val="24"/>
        </w:rPr>
        <w:t>investasi</w:t>
      </w:r>
      <w:proofErr w:type="spellEnd"/>
      <w:r w:rsidR="0057630B" w:rsidRPr="00B14ED8">
        <w:rPr>
          <w:rFonts w:ascii="Times New Roman" w:eastAsia="Times New Roman" w:hAnsi="Times New Roman" w:cs="Times New Roman"/>
          <w:sz w:val="24"/>
          <w:szCs w:val="24"/>
        </w:rPr>
        <w:t xml:space="preserve"> </w:t>
      </w:r>
      <w:r w:rsidR="003657AE" w:rsidRPr="00B14ED8">
        <w:rPr>
          <w:rFonts w:ascii="Times New Roman" w:eastAsia="Times New Roman" w:hAnsi="Times New Roman" w:cs="Times New Roman"/>
          <w:sz w:val="24"/>
          <w:szCs w:val="24"/>
        </w:rPr>
        <w:t xml:space="preserve">PLS </w:t>
      </w:r>
      <w:proofErr w:type="spellStart"/>
      <w:r w:rsidR="003657AE" w:rsidRPr="00B14ED8">
        <w:rPr>
          <w:rFonts w:ascii="Times New Roman" w:eastAsia="Times New Roman" w:hAnsi="Times New Roman" w:cs="Times New Roman"/>
          <w:sz w:val="24"/>
          <w:szCs w:val="24"/>
        </w:rPr>
        <w:t>dengan</w:t>
      </w:r>
      <w:proofErr w:type="spellEnd"/>
      <w:r w:rsidR="003657AE" w:rsidRPr="00B14ED8">
        <w:rPr>
          <w:rFonts w:ascii="Times New Roman" w:eastAsia="Times New Roman" w:hAnsi="Times New Roman" w:cs="Times New Roman"/>
          <w:sz w:val="24"/>
          <w:szCs w:val="24"/>
        </w:rPr>
        <w:t xml:space="preserve"> </w:t>
      </w:r>
      <w:proofErr w:type="spellStart"/>
      <w:r w:rsidR="003657AE" w:rsidRPr="00B14ED8">
        <w:rPr>
          <w:rFonts w:ascii="Times New Roman" w:eastAsia="Times New Roman" w:hAnsi="Times New Roman" w:cs="Times New Roman"/>
          <w:sz w:val="24"/>
          <w:szCs w:val="24"/>
        </w:rPr>
        <w:t>lingkup</w:t>
      </w:r>
      <w:proofErr w:type="spellEnd"/>
      <w:r w:rsidR="003657AE" w:rsidRPr="00B14ED8">
        <w:rPr>
          <w:rFonts w:ascii="Times New Roman" w:eastAsia="Times New Roman" w:hAnsi="Times New Roman" w:cs="Times New Roman"/>
          <w:sz w:val="24"/>
          <w:szCs w:val="24"/>
        </w:rPr>
        <w:t xml:space="preserve"> </w:t>
      </w:r>
      <w:proofErr w:type="spellStart"/>
      <w:r w:rsidR="003657AE" w:rsidRPr="00B14ED8">
        <w:rPr>
          <w:rFonts w:ascii="Times New Roman" w:eastAsia="Times New Roman" w:hAnsi="Times New Roman" w:cs="Times New Roman"/>
          <w:sz w:val="24"/>
          <w:szCs w:val="24"/>
        </w:rPr>
        <w:t>jumlah</w:t>
      </w:r>
      <w:proofErr w:type="spellEnd"/>
      <w:r w:rsidR="003657AE" w:rsidRPr="00B14ED8">
        <w:rPr>
          <w:rFonts w:ascii="Times New Roman" w:eastAsia="Times New Roman" w:hAnsi="Times New Roman" w:cs="Times New Roman"/>
          <w:sz w:val="24"/>
          <w:szCs w:val="24"/>
        </w:rPr>
        <w:t xml:space="preserve"> yang </w:t>
      </w:r>
      <w:proofErr w:type="spellStart"/>
      <w:r w:rsidR="003657AE" w:rsidRPr="00B14ED8">
        <w:rPr>
          <w:rFonts w:ascii="Times New Roman" w:eastAsia="Times New Roman" w:hAnsi="Times New Roman" w:cs="Times New Roman"/>
          <w:sz w:val="24"/>
          <w:szCs w:val="24"/>
        </w:rPr>
        <w:t>lebih</w:t>
      </w:r>
      <w:proofErr w:type="spellEnd"/>
      <w:r w:rsidR="003657AE" w:rsidRPr="00B14ED8">
        <w:rPr>
          <w:rFonts w:ascii="Times New Roman" w:eastAsia="Times New Roman" w:hAnsi="Times New Roman" w:cs="Times New Roman"/>
          <w:sz w:val="24"/>
          <w:szCs w:val="24"/>
        </w:rPr>
        <w:t xml:space="preserve"> </w:t>
      </w:r>
      <w:proofErr w:type="spellStart"/>
      <w:r w:rsidR="003657AE" w:rsidRPr="00B14ED8">
        <w:rPr>
          <w:rFonts w:ascii="Times New Roman" w:eastAsia="Times New Roman" w:hAnsi="Times New Roman" w:cs="Times New Roman"/>
          <w:sz w:val="24"/>
          <w:szCs w:val="24"/>
        </w:rPr>
        <w:t>besar</w:t>
      </w:r>
      <w:proofErr w:type="spellEnd"/>
      <w:r w:rsidR="003657AE" w:rsidRPr="00B14ED8">
        <w:rPr>
          <w:rFonts w:ascii="Times New Roman" w:eastAsia="Times New Roman" w:hAnsi="Times New Roman" w:cs="Times New Roman"/>
          <w:sz w:val="24"/>
          <w:szCs w:val="24"/>
        </w:rPr>
        <w:t xml:space="preserve">. </w:t>
      </w:r>
      <w:proofErr w:type="spellStart"/>
      <w:r w:rsidR="002F79D7" w:rsidRPr="00B14ED8">
        <w:rPr>
          <w:rFonts w:ascii="Times New Roman" w:eastAsia="Times New Roman" w:hAnsi="Times New Roman" w:cs="Times New Roman"/>
          <w:sz w:val="24"/>
          <w:szCs w:val="24"/>
        </w:rPr>
        <w:t>Dalam</w:t>
      </w:r>
      <w:proofErr w:type="spellEnd"/>
      <w:r w:rsidR="002F79D7" w:rsidRPr="00B14ED8">
        <w:rPr>
          <w:rFonts w:ascii="Times New Roman" w:eastAsia="Times New Roman" w:hAnsi="Times New Roman" w:cs="Times New Roman"/>
          <w:sz w:val="24"/>
          <w:szCs w:val="24"/>
        </w:rPr>
        <w:t xml:space="preserve"> </w:t>
      </w:r>
      <w:proofErr w:type="spellStart"/>
      <w:r w:rsidR="002F79D7" w:rsidRPr="00B14ED8">
        <w:rPr>
          <w:rFonts w:ascii="Times New Roman" w:eastAsia="Times New Roman" w:hAnsi="Times New Roman" w:cs="Times New Roman"/>
          <w:sz w:val="24"/>
          <w:szCs w:val="24"/>
        </w:rPr>
        <w:t>konteks</w:t>
      </w:r>
      <w:proofErr w:type="spellEnd"/>
      <w:r w:rsidR="002F79D7" w:rsidRPr="00B14ED8">
        <w:rPr>
          <w:rFonts w:ascii="Times New Roman" w:eastAsia="Times New Roman" w:hAnsi="Times New Roman" w:cs="Times New Roman"/>
          <w:sz w:val="24"/>
          <w:szCs w:val="24"/>
        </w:rPr>
        <w:t xml:space="preserve"> </w:t>
      </w:r>
      <w:proofErr w:type="spellStart"/>
      <w:r w:rsidR="002F79D7" w:rsidRPr="00B14ED8">
        <w:rPr>
          <w:rFonts w:ascii="Times New Roman" w:eastAsia="Times New Roman" w:hAnsi="Times New Roman" w:cs="Times New Roman"/>
          <w:sz w:val="24"/>
          <w:szCs w:val="24"/>
        </w:rPr>
        <w:t>ini</w:t>
      </w:r>
      <w:proofErr w:type="spellEnd"/>
      <w:r w:rsidR="002F79D7" w:rsidRPr="00B14ED8">
        <w:rPr>
          <w:rFonts w:ascii="Times New Roman" w:eastAsia="Times New Roman" w:hAnsi="Times New Roman" w:cs="Times New Roman"/>
          <w:sz w:val="24"/>
          <w:szCs w:val="24"/>
        </w:rPr>
        <w:t xml:space="preserve"> </w:t>
      </w:r>
      <w:proofErr w:type="spellStart"/>
      <w:r w:rsidR="002F79D7" w:rsidRPr="00B14ED8">
        <w:rPr>
          <w:rFonts w:ascii="Times New Roman" w:eastAsia="Times New Roman" w:hAnsi="Times New Roman" w:cs="Times New Roman"/>
          <w:sz w:val="24"/>
          <w:szCs w:val="24"/>
        </w:rPr>
        <w:t>m</w:t>
      </w:r>
      <w:r w:rsidR="00621FC2" w:rsidRPr="00B14ED8">
        <w:rPr>
          <w:rFonts w:ascii="Times New Roman" w:eastAsia="Times New Roman" w:hAnsi="Times New Roman" w:cs="Times New Roman"/>
          <w:sz w:val="24"/>
          <w:szCs w:val="24"/>
        </w:rPr>
        <w:t>anajemen</w:t>
      </w:r>
      <w:proofErr w:type="spellEnd"/>
      <w:r w:rsidR="00621FC2" w:rsidRPr="00B14ED8">
        <w:rPr>
          <w:rFonts w:ascii="Times New Roman" w:eastAsia="Times New Roman" w:hAnsi="Times New Roman" w:cs="Times New Roman"/>
          <w:sz w:val="24"/>
          <w:szCs w:val="24"/>
        </w:rPr>
        <w:t xml:space="preserve"> </w:t>
      </w:r>
      <w:proofErr w:type="spellStart"/>
      <w:r w:rsidR="00621FC2" w:rsidRPr="00B14ED8">
        <w:rPr>
          <w:rFonts w:ascii="Times New Roman" w:eastAsia="Times New Roman" w:hAnsi="Times New Roman" w:cs="Times New Roman"/>
          <w:sz w:val="24"/>
          <w:szCs w:val="24"/>
        </w:rPr>
        <w:t>risiko</w:t>
      </w:r>
      <w:proofErr w:type="spellEnd"/>
      <w:r w:rsidR="00621FC2" w:rsidRPr="00B14ED8">
        <w:rPr>
          <w:rFonts w:ascii="Times New Roman" w:eastAsia="Times New Roman" w:hAnsi="Times New Roman" w:cs="Times New Roman"/>
          <w:sz w:val="24"/>
          <w:szCs w:val="24"/>
        </w:rPr>
        <w:t xml:space="preserve"> </w:t>
      </w:r>
      <w:proofErr w:type="spellStart"/>
      <w:r w:rsidR="00621FC2" w:rsidRPr="00B14ED8">
        <w:rPr>
          <w:rFonts w:ascii="Times New Roman" w:eastAsia="Times New Roman" w:hAnsi="Times New Roman" w:cs="Times New Roman"/>
          <w:sz w:val="24"/>
          <w:szCs w:val="24"/>
        </w:rPr>
        <w:t>berfungsi</w:t>
      </w:r>
      <w:proofErr w:type="spellEnd"/>
      <w:r w:rsidR="00621FC2" w:rsidRPr="00B14ED8">
        <w:rPr>
          <w:rFonts w:ascii="Times New Roman" w:eastAsia="Times New Roman" w:hAnsi="Times New Roman" w:cs="Times New Roman"/>
          <w:sz w:val="24"/>
          <w:szCs w:val="24"/>
        </w:rPr>
        <w:t xml:space="preserve"> </w:t>
      </w:r>
      <w:proofErr w:type="spellStart"/>
      <w:r w:rsidR="00621FC2" w:rsidRPr="00B14ED8">
        <w:rPr>
          <w:rFonts w:ascii="Times New Roman" w:eastAsia="Times New Roman" w:hAnsi="Times New Roman" w:cs="Times New Roman"/>
          <w:sz w:val="24"/>
          <w:szCs w:val="24"/>
        </w:rPr>
        <w:t>sebagai</w:t>
      </w:r>
      <w:proofErr w:type="spellEnd"/>
      <w:r w:rsidR="00621FC2" w:rsidRPr="00B14ED8">
        <w:rPr>
          <w:rFonts w:ascii="Times New Roman" w:eastAsia="Times New Roman" w:hAnsi="Times New Roman" w:cs="Times New Roman"/>
          <w:sz w:val="24"/>
          <w:szCs w:val="24"/>
        </w:rPr>
        <w:t xml:space="preserve"> proses </w:t>
      </w:r>
      <w:proofErr w:type="spellStart"/>
      <w:r w:rsidR="00621FC2" w:rsidRPr="00B14ED8">
        <w:rPr>
          <w:rFonts w:ascii="Times New Roman" w:eastAsia="Times New Roman" w:hAnsi="Times New Roman" w:cs="Times New Roman"/>
          <w:sz w:val="24"/>
          <w:szCs w:val="24"/>
        </w:rPr>
        <w:t>pengendalian</w:t>
      </w:r>
      <w:proofErr w:type="spellEnd"/>
      <w:r w:rsidR="00621FC2" w:rsidRPr="00B14ED8">
        <w:rPr>
          <w:rFonts w:ascii="Times New Roman" w:eastAsia="Times New Roman" w:hAnsi="Times New Roman" w:cs="Times New Roman"/>
          <w:sz w:val="24"/>
          <w:szCs w:val="24"/>
        </w:rPr>
        <w:t xml:space="preserve"> </w:t>
      </w:r>
      <w:proofErr w:type="spellStart"/>
      <w:r w:rsidR="00621FC2" w:rsidRPr="00B14ED8">
        <w:rPr>
          <w:rFonts w:ascii="Times New Roman" w:eastAsia="Times New Roman" w:hAnsi="Times New Roman" w:cs="Times New Roman"/>
          <w:sz w:val="24"/>
          <w:szCs w:val="24"/>
        </w:rPr>
        <w:t>risiko</w:t>
      </w:r>
      <w:proofErr w:type="spellEnd"/>
      <w:r w:rsidR="00621FC2" w:rsidRPr="00B14ED8">
        <w:rPr>
          <w:rFonts w:ascii="Times New Roman" w:eastAsia="Times New Roman" w:hAnsi="Times New Roman" w:cs="Times New Roman"/>
          <w:sz w:val="24"/>
          <w:szCs w:val="24"/>
        </w:rPr>
        <w:t xml:space="preserve"> yang </w:t>
      </w:r>
      <w:proofErr w:type="spellStart"/>
      <w:r w:rsidR="00621FC2" w:rsidRPr="00B14ED8">
        <w:rPr>
          <w:rFonts w:ascii="Times New Roman" w:eastAsia="Times New Roman" w:hAnsi="Times New Roman" w:cs="Times New Roman"/>
          <w:sz w:val="24"/>
          <w:szCs w:val="24"/>
        </w:rPr>
        <w:t>mampu</w:t>
      </w:r>
      <w:proofErr w:type="spellEnd"/>
      <w:r w:rsidR="00621FC2" w:rsidRPr="00B14ED8">
        <w:rPr>
          <w:rFonts w:ascii="Times New Roman" w:eastAsia="Times New Roman" w:hAnsi="Times New Roman" w:cs="Times New Roman"/>
          <w:sz w:val="24"/>
          <w:szCs w:val="24"/>
        </w:rPr>
        <w:t xml:space="preserve"> </w:t>
      </w:r>
      <w:proofErr w:type="spellStart"/>
      <w:r w:rsidR="00621FC2" w:rsidRPr="00B14ED8">
        <w:rPr>
          <w:rFonts w:ascii="Times New Roman" w:eastAsia="Times New Roman" w:hAnsi="Times New Roman" w:cs="Times New Roman"/>
          <w:sz w:val="24"/>
          <w:szCs w:val="24"/>
        </w:rPr>
        <w:t>mengurangi</w:t>
      </w:r>
      <w:proofErr w:type="spellEnd"/>
      <w:r w:rsidR="00621FC2" w:rsidRPr="00B14ED8">
        <w:rPr>
          <w:rFonts w:ascii="Times New Roman" w:eastAsia="Times New Roman" w:hAnsi="Times New Roman" w:cs="Times New Roman"/>
          <w:sz w:val="24"/>
          <w:szCs w:val="24"/>
        </w:rPr>
        <w:t xml:space="preserve"> </w:t>
      </w:r>
      <w:proofErr w:type="spellStart"/>
      <w:r w:rsidR="00621FC2" w:rsidRPr="00B14ED8">
        <w:rPr>
          <w:rFonts w:ascii="Times New Roman" w:eastAsia="Times New Roman" w:hAnsi="Times New Roman" w:cs="Times New Roman"/>
          <w:sz w:val="24"/>
          <w:szCs w:val="24"/>
        </w:rPr>
        <w:t>potensi</w:t>
      </w:r>
      <w:proofErr w:type="spellEnd"/>
      <w:r w:rsidR="00621FC2" w:rsidRPr="00B14ED8">
        <w:rPr>
          <w:rFonts w:ascii="Times New Roman" w:eastAsia="Times New Roman" w:hAnsi="Times New Roman" w:cs="Times New Roman"/>
          <w:sz w:val="24"/>
          <w:szCs w:val="24"/>
        </w:rPr>
        <w:t xml:space="preserve"> </w:t>
      </w:r>
      <w:proofErr w:type="spellStart"/>
      <w:r w:rsidR="00F825E9" w:rsidRPr="00B14ED8">
        <w:rPr>
          <w:rFonts w:ascii="Times New Roman" w:eastAsia="Times New Roman" w:hAnsi="Times New Roman" w:cs="Times New Roman"/>
          <w:sz w:val="24"/>
          <w:szCs w:val="24"/>
        </w:rPr>
        <w:t>kerugian</w:t>
      </w:r>
      <w:proofErr w:type="spellEnd"/>
      <w:r w:rsidR="00F825E9" w:rsidRPr="00B14ED8">
        <w:rPr>
          <w:rFonts w:ascii="Times New Roman" w:eastAsia="Times New Roman" w:hAnsi="Times New Roman" w:cs="Times New Roman"/>
          <w:sz w:val="24"/>
          <w:szCs w:val="24"/>
        </w:rPr>
        <w:t xml:space="preserve"> yang </w:t>
      </w:r>
      <w:proofErr w:type="spellStart"/>
      <w:r w:rsidR="00F825E9" w:rsidRPr="00B14ED8">
        <w:rPr>
          <w:rFonts w:ascii="Times New Roman" w:eastAsia="Times New Roman" w:hAnsi="Times New Roman" w:cs="Times New Roman"/>
          <w:sz w:val="24"/>
          <w:szCs w:val="24"/>
        </w:rPr>
        <w:t>dapat</w:t>
      </w:r>
      <w:proofErr w:type="spellEnd"/>
      <w:r w:rsidR="00F825E9" w:rsidRPr="00B14ED8">
        <w:rPr>
          <w:rFonts w:ascii="Times New Roman" w:eastAsia="Times New Roman" w:hAnsi="Times New Roman" w:cs="Times New Roman"/>
          <w:sz w:val="24"/>
          <w:szCs w:val="24"/>
        </w:rPr>
        <w:t xml:space="preserve"> </w:t>
      </w:r>
      <w:proofErr w:type="spellStart"/>
      <w:r w:rsidR="00F825E9" w:rsidRPr="00B14ED8">
        <w:rPr>
          <w:rFonts w:ascii="Times New Roman" w:eastAsia="Times New Roman" w:hAnsi="Times New Roman" w:cs="Times New Roman"/>
          <w:sz w:val="24"/>
          <w:szCs w:val="24"/>
        </w:rPr>
        <w:t>diakibatkan</w:t>
      </w:r>
      <w:proofErr w:type="spellEnd"/>
      <w:r w:rsidR="00621FC2" w:rsidRPr="00B14ED8">
        <w:rPr>
          <w:rFonts w:ascii="Times New Roman" w:eastAsia="Times New Roman" w:hAnsi="Times New Roman" w:cs="Times New Roman"/>
          <w:sz w:val="24"/>
          <w:szCs w:val="24"/>
        </w:rPr>
        <w:t xml:space="preserve"> </w:t>
      </w:r>
      <w:proofErr w:type="spellStart"/>
      <w:r w:rsidR="00621FC2" w:rsidRPr="00B14ED8">
        <w:rPr>
          <w:rFonts w:ascii="Times New Roman" w:eastAsia="Times New Roman" w:hAnsi="Times New Roman" w:cs="Times New Roman"/>
          <w:sz w:val="24"/>
          <w:szCs w:val="24"/>
        </w:rPr>
        <w:t>dari</w:t>
      </w:r>
      <w:proofErr w:type="spellEnd"/>
      <w:r w:rsidR="00621FC2" w:rsidRPr="00B14ED8">
        <w:rPr>
          <w:rFonts w:ascii="Times New Roman" w:eastAsia="Times New Roman" w:hAnsi="Times New Roman" w:cs="Times New Roman"/>
          <w:sz w:val="24"/>
          <w:szCs w:val="24"/>
        </w:rPr>
        <w:t xml:space="preserve"> </w:t>
      </w:r>
      <w:proofErr w:type="spellStart"/>
      <w:r w:rsidR="00621FC2" w:rsidRPr="00B14ED8">
        <w:rPr>
          <w:rFonts w:ascii="Times New Roman" w:eastAsia="Times New Roman" w:hAnsi="Times New Roman" w:cs="Times New Roman"/>
          <w:sz w:val="24"/>
          <w:szCs w:val="24"/>
        </w:rPr>
        <w:t>pembiayaan</w:t>
      </w:r>
      <w:proofErr w:type="spellEnd"/>
      <w:r w:rsidR="00621FC2" w:rsidRPr="00B14ED8">
        <w:rPr>
          <w:rFonts w:ascii="Times New Roman" w:eastAsia="Times New Roman" w:hAnsi="Times New Roman" w:cs="Times New Roman"/>
          <w:sz w:val="24"/>
          <w:szCs w:val="24"/>
        </w:rPr>
        <w:t xml:space="preserve"> </w:t>
      </w:r>
      <w:proofErr w:type="spellStart"/>
      <w:r w:rsidR="00621FC2" w:rsidRPr="00B14ED8">
        <w:rPr>
          <w:rFonts w:ascii="Times New Roman" w:eastAsia="Times New Roman" w:hAnsi="Times New Roman" w:cs="Times New Roman"/>
          <w:i/>
          <w:iCs/>
          <w:sz w:val="24"/>
          <w:szCs w:val="24"/>
        </w:rPr>
        <w:t>musyaraka</w:t>
      </w:r>
      <w:r w:rsidR="00C562DA" w:rsidRPr="00B14ED8">
        <w:rPr>
          <w:rFonts w:ascii="Times New Roman" w:eastAsia="Times New Roman" w:hAnsi="Times New Roman" w:cs="Times New Roman"/>
          <w:i/>
          <w:iCs/>
          <w:sz w:val="24"/>
          <w:szCs w:val="24"/>
        </w:rPr>
        <w:t>h</w:t>
      </w:r>
      <w:proofErr w:type="spellEnd"/>
      <w:r w:rsidR="00C562DA" w:rsidRPr="00B14ED8">
        <w:rPr>
          <w:rFonts w:ascii="Times New Roman" w:eastAsia="Times New Roman" w:hAnsi="Times New Roman" w:cs="Times New Roman"/>
          <w:i/>
          <w:iCs/>
          <w:sz w:val="24"/>
          <w:szCs w:val="24"/>
        </w:rPr>
        <w:t xml:space="preserve">. </w:t>
      </w:r>
      <w:proofErr w:type="spellStart"/>
      <w:r w:rsidR="008E6EBC" w:rsidRPr="00B14ED8">
        <w:rPr>
          <w:rFonts w:ascii="Times New Roman" w:eastAsia="Times New Roman" w:hAnsi="Times New Roman" w:cs="Times New Roman"/>
          <w:sz w:val="24"/>
          <w:szCs w:val="24"/>
        </w:rPr>
        <w:t>S</w:t>
      </w:r>
      <w:r w:rsidR="008940A1" w:rsidRPr="00B14ED8">
        <w:rPr>
          <w:rFonts w:ascii="Times New Roman" w:eastAsia="Times New Roman" w:hAnsi="Times New Roman" w:cs="Times New Roman"/>
          <w:sz w:val="24"/>
          <w:szCs w:val="24"/>
        </w:rPr>
        <w:t>ehingga</w:t>
      </w:r>
      <w:proofErr w:type="spellEnd"/>
      <w:r w:rsidR="00DF5267" w:rsidRPr="00B14ED8">
        <w:rPr>
          <w:rFonts w:ascii="Times New Roman" w:eastAsia="Times New Roman" w:hAnsi="Times New Roman" w:cs="Times New Roman"/>
          <w:sz w:val="24"/>
          <w:szCs w:val="24"/>
        </w:rPr>
        <w:t xml:space="preserve"> </w:t>
      </w:r>
      <w:r w:rsidR="00411D47" w:rsidRPr="00B14ED8">
        <w:rPr>
          <w:rFonts w:ascii="Times New Roman" w:eastAsia="Times New Roman" w:hAnsi="Times New Roman" w:cs="Times New Roman"/>
          <w:sz w:val="24"/>
          <w:szCs w:val="24"/>
        </w:rPr>
        <w:t xml:space="preserve">demi </w:t>
      </w:r>
      <w:proofErr w:type="spellStart"/>
      <w:r w:rsidR="00411D47" w:rsidRPr="00B14ED8">
        <w:rPr>
          <w:rFonts w:ascii="Times New Roman" w:eastAsia="Times New Roman" w:hAnsi="Times New Roman" w:cs="Times New Roman"/>
          <w:sz w:val="24"/>
          <w:szCs w:val="24"/>
        </w:rPr>
        <w:t>menghindari</w:t>
      </w:r>
      <w:proofErr w:type="spellEnd"/>
      <w:r w:rsidR="00411D47" w:rsidRPr="00B14ED8">
        <w:rPr>
          <w:rFonts w:ascii="Times New Roman" w:eastAsia="Times New Roman" w:hAnsi="Times New Roman" w:cs="Times New Roman"/>
          <w:sz w:val="24"/>
          <w:szCs w:val="24"/>
        </w:rPr>
        <w:t xml:space="preserve"> </w:t>
      </w:r>
      <w:proofErr w:type="spellStart"/>
      <w:r w:rsidR="00411D47" w:rsidRPr="00B14ED8">
        <w:rPr>
          <w:rFonts w:ascii="Times New Roman" w:eastAsia="Times New Roman" w:hAnsi="Times New Roman" w:cs="Times New Roman"/>
          <w:sz w:val="24"/>
          <w:szCs w:val="24"/>
        </w:rPr>
        <w:t>serta</w:t>
      </w:r>
      <w:proofErr w:type="spellEnd"/>
      <w:r w:rsidR="00411D47" w:rsidRPr="00B14ED8">
        <w:rPr>
          <w:rFonts w:ascii="Times New Roman" w:eastAsia="Times New Roman" w:hAnsi="Times New Roman" w:cs="Times New Roman"/>
          <w:sz w:val="24"/>
          <w:szCs w:val="24"/>
        </w:rPr>
        <w:t xml:space="preserve"> </w:t>
      </w:r>
      <w:proofErr w:type="spellStart"/>
      <w:r w:rsidR="00411D47" w:rsidRPr="00B14ED8">
        <w:rPr>
          <w:rFonts w:ascii="Times New Roman" w:eastAsia="Times New Roman" w:hAnsi="Times New Roman" w:cs="Times New Roman"/>
          <w:sz w:val="24"/>
          <w:szCs w:val="24"/>
        </w:rPr>
        <w:t>meminimalkan</w:t>
      </w:r>
      <w:proofErr w:type="spellEnd"/>
      <w:r w:rsidR="00411D47" w:rsidRPr="00B14ED8">
        <w:rPr>
          <w:rFonts w:ascii="Times New Roman" w:eastAsia="Times New Roman" w:hAnsi="Times New Roman" w:cs="Times New Roman"/>
          <w:sz w:val="24"/>
          <w:szCs w:val="24"/>
        </w:rPr>
        <w:t xml:space="preserve"> </w:t>
      </w:r>
      <w:proofErr w:type="spellStart"/>
      <w:r w:rsidR="00411D47" w:rsidRPr="00B14ED8">
        <w:rPr>
          <w:rFonts w:ascii="Times New Roman" w:eastAsia="Times New Roman" w:hAnsi="Times New Roman" w:cs="Times New Roman"/>
          <w:sz w:val="24"/>
          <w:szCs w:val="24"/>
        </w:rPr>
        <w:t>risiko</w:t>
      </w:r>
      <w:proofErr w:type="spellEnd"/>
      <w:r w:rsidR="00E73902" w:rsidRPr="00B14ED8">
        <w:rPr>
          <w:rFonts w:ascii="Times New Roman" w:eastAsia="Times New Roman" w:hAnsi="Times New Roman" w:cs="Times New Roman"/>
          <w:sz w:val="24"/>
          <w:szCs w:val="24"/>
        </w:rPr>
        <w:t xml:space="preserve"> </w:t>
      </w:r>
      <w:proofErr w:type="spellStart"/>
      <w:r w:rsidR="00E73902" w:rsidRPr="00B14ED8">
        <w:rPr>
          <w:rFonts w:ascii="Times New Roman" w:eastAsia="Times New Roman" w:hAnsi="Times New Roman" w:cs="Times New Roman"/>
          <w:sz w:val="24"/>
          <w:szCs w:val="24"/>
        </w:rPr>
        <w:t>kerugian</w:t>
      </w:r>
      <w:proofErr w:type="spellEnd"/>
      <w:r w:rsidR="00411D47" w:rsidRPr="00B14ED8">
        <w:rPr>
          <w:rFonts w:ascii="Times New Roman" w:eastAsia="Times New Roman" w:hAnsi="Times New Roman" w:cs="Times New Roman"/>
          <w:sz w:val="24"/>
          <w:szCs w:val="24"/>
        </w:rPr>
        <w:t xml:space="preserve"> </w:t>
      </w:r>
      <w:proofErr w:type="spellStart"/>
      <w:r w:rsidR="00411D47" w:rsidRPr="00B14ED8">
        <w:rPr>
          <w:rFonts w:ascii="Times New Roman" w:eastAsia="Times New Roman" w:hAnsi="Times New Roman" w:cs="Times New Roman"/>
          <w:sz w:val="24"/>
          <w:szCs w:val="24"/>
        </w:rPr>
        <w:t>usaha</w:t>
      </w:r>
      <w:proofErr w:type="spellEnd"/>
      <w:r w:rsidR="00DF5267" w:rsidRPr="00B14ED8">
        <w:rPr>
          <w:rFonts w:ascii="Times New Roman" w:eastAsia="Times New Roman" w:hAnsi="Times New Roman" w:cs="Times New Roman"/>
          <w:sz w:val="24"/>
          <w:szCs w:val="24"/>
        </w:rPr>
        <w:t>,</w:t>
      </w:r>
      <w:r w:rsidR="00411D47" w:rsidRPr="00B14ED8">
        <w:rPr>
          <w:rFonts w:ascii="Times New Roman" w:eastAsia="Times New Roman" w:hAnsi="Times New Roman" w:cs="Times New Roman"/>
          <w:sz w:val="24"/>
          <w:szCs w:val="24"/>
        </w:rPr>
        <w:t xml:space="preserve"> </w:t>
      </w:r>
      <w:proofErr w:type="spellStart"/>
      <w:r w:rsidR="00801595" w:rsidRPr="00B14ED8">
        <w:rPr>
          <w:rFonts w:ascii="Times New Roman" w:eastAsia="Times New Roman" w:hAnsi="Times New Roman" w:cs="Times New Roman"/>
          <w:sz w:val="24"/>
          <w:szCs w:val="24"/>
        </w:rPr>
        <w:t>pihak</w:t>
      </w:r>
      <w:proofErr w:type="spellEnd"/>
      <w:r w:rsidR="00801595" w:rsidRPr="00B14ED8">
        <w:rPr>
          <w:rFonts w:ascii="Times New Roman" w:eastAsia="Times New Roman" w:hAnsi="Times New Roman" w:cs="Times New Roman"/>
          <w:sz w:val="24"/>
          <w:szCs w:val="24"/>
        </w:rPr>
        <w:t xml:space="preserve"> </w:t>
      </w:r>
      <w:proofErr w:type="spellStart"/>
      <w:r w:rsidR="00801595" w:rsidRPr="00B14ED8">
        <w:rPr>
          <w:rFonts w:ascii="Times New Roman" w:eastAsia="Times New Roman" w:hAnsi="Times New Roman" w:cs="Times New Roman"/>
          <w:sz w:val="24"/>
          <w:szCs w:val="24"/>
        </w:rPr>
        <w:t>perbankan</w:t>
      </w:r>
      <w:proofErr w:type="spellEnd"/>
      <w:r w:rsidR="00801595" w:rsidRPr="00B14ED8">
        <w:rPr>
          <w:rFonts w:ascii="Times New Roman" w:eastAsia="Times New Roman" w:hAnsi="Times New Roman" w:cs="Times New Roman"/>
          <w:sz w:val="24"/>
          <w:szCs w:val="24"/>
        </w:rPr>
        <w:t xml:space="preserve"> </w:t>
      </w:r>
      <w:proofErr w:type="spellStart"/>
      <w:r w:rsidR="00801595" w:rsidRPr="00B14ED8">
        <w:rPr>
          <w:rFonts w:ascii="Times New Roman" w:eastAsia="Times New Roman" w:hAnsi="Times New Roman" w:cs="Times New Roman"/>
          <w:sz w:val="24"/>
          <w:szCs w:val="24"/>
        </w:rPr>
        <w:t>lebih</w:t>
      </w:r>
      <w:proofErr w:type="spellEnd"/>
      <w:r w:rsidR="00801595" w:rsidRPr="00B14ED8">
        <w:rPr>
          <w:rFonts w:ascii="Times New Roman" w:eastAsia="Times New Roman" w:hAnsi="Times New Roman" w:cs="Times New Roman"/>
          <w:sz w:val="24"/>
          <w:szCs w:val="24"/>
        </w:rPr>
        <w:t xml:space="preserve"> </w:t>
      </w:r>
      <w:proofErr w:type="spellStart"/>
      <w:r w:rsidR="00801595" w:rsidRPr="00B14ED8">
        <w:rPr>
          <w:rFonts w:ascii="Times New Roman" w:eastAsia="Times New Roman" w:hAnsi="Times New Roman" w:cs="Times New Roman"/>
          <w:sz w:val="24"/>
          <w:szCs w:val="24"/>
        </w:rPr>
        <w:t>berhati</w:t>
      </w:r>
      <w:proofErr w:type="spellEnd"/>
      <w:r w:rsidR="00801595" w:rsidRPr="00B14ED8">
        <w:rPr>
          <w:rFonts w:ascii="Times New Roman" w:eastAsia="Times New Roman" w:hAnsi="Times New Roman" w:cs="Times New Roman"/>
          <w:sz w:val="24"/>
          <w:szCs w:val="24"/>
        </w:rPr>
        <w:t xml:space="preserve"> – </w:t>
      </w:r>
      <w:proofErr w:type="spellStart"/>
      <w:r w:rsidR="00801595" w:rsidRPr="00B14ED8">
        <w:rPr>
          <w:rFonts w:ascii="Times New Roman" w:eastAsia="Times New Roman" w:hAnsi="Times New Roman" w:cs="Times New Roman"/>
          <w:sz w:val="24"/>
          <w:szCs w:val="24"/>
        </w:rPr>
        <w:t>hati</w:t>
      </w:r>
      <w:proofErr w:type="spellEnd"/>
      <w:r w:rsidR="00801595" w:rsidRPr="00B14ED8">
        <w:rPr>
          <w:rFonts w:ascii="Times New Roman" w:eastAsia="Times New Roman" w:hAnsi="Times New Roman" w:cs="Times New Roman"/>
          <w:sz w:val="24"/>
          <w:szCs w:val="24"/>
        </w:rPr>
        <w:t xml:space="preserve"> di </w:t>
      </w:r>
      <w:proofErr w:type="spellStart"/>
      <w:r w:rsidR="00801595" w:rsidRPr="00B14ED8">
        <w:rPr>
          <w:rFonts w:ascii="Times New Roman" w:eastAsia="Times New Roman" w:hAnsi="Times New Roman" w:cs="Times New Roman"/>
          <w:sz w:val="24"/>
          <w:szCs w:val="24"/>
        </w:rPr>
        <w:t>dalam</w:t>
      </w:r>
      <w:proofErr w:type="spellEnd"/>
      <w:r w:rsidR="00801595" w:rsidRPr="00B14ED8">
        <w:rPr>
          <w:rFonts w:ascii="Times New Roman" w:eastAsia="Times New Roman" w:hAnsi="Times New Roman" w:cs="Times New Roman"/>
          <w:sz w:val="24"/>
          <w:szCs w:val="24"/>
        </w:rPr>
        <w:t xml:space="preserve"> </w:t>
      </w:r>
      <w:proofErr w:type="spellStart"/>
      <w:r w:rsidR="003842FB" w:rsidRPr="00B14ED8">
        <w:rPr>
          <w:rFonts w:ascii="Times New Roman" w:eastAsia="Times New Roman" w:hAnsi="Times New Roman" w:cs="Times New Roman"/>
          <w:sz w:val="24"/>
          <w:szCs w:val="24"/>
        </w:rPr>
        <w:t>kerja</w:t>
      </w:r>
      <w:proofErr w:type="spellEnd"/>
      <w:r w:rsidR="003842FB" w:rsidRPr="00B14ED8">
        <w:rPr>
          <w:rFonts w:ascii="Times New Roman" w:eastAsia="Times New Roman" w:hAnsi="Times New Roman" w:cs="Times New Roman"/>
          <w:sz w:val="24"/>
          <w:szCs w:val="24"/>
        </w:rPr>
        <w:t xml:space="preserve"> </w:t>
      </w:r>
      <w:proofErr w:type="spellStart"/>
      <w:r w:rsidR="003842FB" w:rsidRPr="00B14ED8">
        <w:rPr>
          <w:rFonts w:ascii="Times New Roman" w:eastAsia="Times New Roman" w:hAnsi="Times New Roman" w:cs="Times New Roman"/>
          <w:sz w:val="24"/>
          <w:szCs w:val="24"/>
        </w:rPr>
        <w:t>sama</w:t>
      </w:r>
      <w:proofErr w:type="spellEnd"/>
      <w:r w:rsidR="003842FB" w:rsidRPr="00B14ED8">
        <w:rPr>
          <w:rFonts w:ascii="Times New Roman" w:eastAsia="Times New Roman" w:hAnsi="Times New Roman" w:cs="Times New Roman"/>
          <w:sz w:val="24"/>
          <w:szCs w:val="24"/>
        </w:rPr>
        <w:t xml:space="preserve"> </w:t>
      </w:r>
      <w:proofErr w:type="spellStart"/>
      <w:r w:rsidR="003842FB" w:rsidRPr="00B14ED8">
        <w:rPr>
          <w:rFonts w:ascii="Times New Roman" w:eastAsia="Times New Roman" w:hAnsi="Times New Roman" w:cs="Times New Roman"/>
          <w:i/>
          <w:iCs/>
          <w:sz w:val="24"/>
          <w:szCs w:val="24"/>
        </w:rPr>
        <w:t>musyarakah</w:t>
      </w:r>
      <w:proofErr w:type="spellEnd"/>
      <w:r w:rsidR="003842FB" w:rsidRPr="00B14ED8">
        <w:rPr>
          <w:rFonts w:ascii="Times New Roman" w:eastAsia="Times New Roman" w:hAnsi="Times New Roman" w:cs="Times New Roman"/>
          <w:i/>
          <w:iCs/>
          <w:sz w:val="24"/>
          <w:szCs w:val="24"/>
        </w:rPr>
        <w:t xml:space="preserve"> </w:t>
      </w:r>
      <w:r w:rsidR="00DF5267" w:rsidRPr="00B14ED8">
        <w:rPr>
          <w:rFonts w:ascii="Times New Roman" w:eastAsia="Times New Roman" w:hAnsi="Times New Roman" w:cs="Times New Roman"/>
          <w:sz w:val="24"/>
          <w:szCs w:val="24"/>
        </w:rPr>
        <w:t xml:space="preserve">dan </w:t>
      </w:r>
      <w:proofErr w:type="spellStart"/>
      <w:r w:rsidR="009A379D" w:rsidRPr="00B14ED8">
        <w:rPr>
          <w:rFonts w:ascii="Times New Roman" w:eastAsia="Times New Roman" w:hAnsi="Times New Roman" w:cs="Times New Roman"/>
          <w:sz w:val="24"/>
          <w:szCs w:val="24"/>
        </w:rPr>
        <w:t>lebih</w:t>
      </w:r>
      <w:proofErr w:type="spellEnd"/>
      <w:r w:rsidR="009A379D" w:rsidRPr="00B14ED8">
        <w:rPr>
          <w:rFonts w:ascii="Times New Roman" w:eastAsia="Times New Roman" w:hAnsi="Times New Roman" w:cs="Times New Roman"/>
          <w:sz w:val="24"/>
          <w:szCs w:val="24"/>
        </w:rPr>
        <w:t xml:space="preserve"> </w:t>
      </w:r>
      <w:proofErr w:type="spellStart"/>
      <w:r w:rsidR="00FD27EC" w:rsidRPr="00B14ED8">
        <w:rPr>
          <w:rFonts w:ascii="Times New Roman" w:eastAsia="Times New Roman" w:hAnsi="Times New Roman" w:cs="Times New Roman"/>
          <w:sz w:val="24"/>
          <w:szCs w:val="24"/>
        </w:rPr>
        <w:t>mengurangi</w:t>
      </w:r>
      <w:proofErr w:type="spellEnd"/>
      <w:r w:rsidR="009A379D" w:rsidRPr="00B14ED8">
        <w:rPr>
          <w:rFonts w:ascii="Times New Roman" w:eastAsia="Times New Roman" w:hAnsi="Times New Roman" w:cs="Times New Roman"/>
          <w:sz w:val="24"/>
          <w:szCs w:val="24"/>
        </w:rPr>
        <w:t xml:space="preserve"> </w:t>
      </w:r>
      <w:proofErr w:type="spellStart"/>
      <w:r w:rsidR="009A379D" w:rsidRPr="00B14ED8">
        <w:rPr>
          <w:rFonts w:ascii="Times New Roman" w:eastAsia="Times New Roman" w:hAnsi="Times New Roman" w:cs="Times New Roman"/>
          <w:sz w:val="24"/>
          <w:szCs w:val="24"/>
        </w:rPr>
        <w:t>peluang</w:t>
      </w:r>
      <w:proofErr w:type="spellEnd"/>
      <w:r w:rsidR="009A379D" w:rsidRPr="00B14ED8">
        <w:rPr>
          <w:rFonts w:ascii="Times New Roman" w:eastAsia="Times New Roman" w:hAnsi="Times New Roman" w:cs="Times New Roman"/>
          <w:sz w:val="24"/>
          <w:szCs w:val="24"/>
        </w:rPr>
        <w:t xml:space="preserve"> – </w:t>
      </w:r>
      <w:proofErr w:type="spellStart"/>
      <w:r w:rsidR="009A379D" w:rsidRPr="00B14ED8">
        <w:rPr>
          <w:rFonts w:ascii="Times New Roman" w:eastAsia="Times New Roman" w:hAnsi="Times New Roman" w:cs="Times New Roman"/>
          <w:sz w:val="24"/>
          <w:szCs w:val="24"/>
        </w:rPr>
        <w:t>peluang</w:t>
      </w:r>
      <w:proofErr w:type="spellEnd"/>
      <w:r w:rsidR="009A379D" w:rsidRPr="00B14ED8">
        <w:rPr>
          <w:rFonts w:ascii="Times New Roman" w:eastAsia="Times New Roman" w:hAnsi="Times New Roman" w:cs="Times New Roman"/>
          <w:sz w:val="24"/>
          <w:szCs w:val="24"/>
        </w:rPr>
        <w:t xml:space="preserve"> </w:t>
      </w:r>
      <w:proofErr w:type="spellStart"/>
      <w:r w:rsidR="00E462E7" w:rsidRPr="00B14ED8">
        <w:rPr>
          <w:rFonts w:ascii="Times New Roman" w:eastAsia="Times New Roman" w:hAnsi="Times New Roman" w:cs="Times New Roman"/>
          <w:sz w:val="24"/>
          <w:szCs w:val="24"/>
        </w:rPr>
        <w:t>investasi</w:t>
      </w:r>
      <w:proofErr w:type="spellEnd"/>
      <w:r w:rsidR="00E462E7" w:rsidRPr="00B14ED8">
        <w:rPr>
          <w:rFonts w:ascii="Times New Roman" w:eastAsia="Times New Roman" w:hAnsi="Times New Roman" w:cs="Times New Roman"/>
          <w:sz w:val="24"/>
          <w:szCs w:val="24"/>
        </w:rPr>
        <w:t xml:space="preserve"> </w:t>
      </w:r>
      <w:proofErr w:type="spellStart"/>
      <w:r w:rsidR="00E462E7" w:rsidRPr="00B14ED8">
        <w:rPr>
          <w:rFonts w:ascii="Times New Roman" w:eastAsia="Times New Roman" w:hAnsi="Times New Roman" w:cs="Times New Roman"/>
          <w:sz w:val="24"/>
          <w:szCs w:val="24"/>
        </w:rPr>
        <w:t>bisnis</w:t>
      </w:r>
      <w:proofErr w:type="spellEnd"/>
      <w:r w:rsidR="00E462E7" w:rsidRPr="00B14ED8">
        <w:rPr>
          <w:rFonts w:ascii="Times New Roman" w:eastAsia="Times New Roman" w:hAnsi="Times New Roman" w:cs="Times New Roman"/>
          <w:sz w:val="24"/>
          <w:szCs w:val="24"/>
        </w:rPr>
        <w:t xml:space="preserve"> </w:t>
      </w:r>
      <w:proofErr w:type="spellStart"/>
      <w:r w:rsidR="00E462E7" w:rsidRPr="00B14ED8">
        <w:rPr>
          <w:rFonts w:ascii="Times New Roman" w:eastAsia="Times New Roman" w:hAnsi="Times New Roman" w:cs="Times New Roman"/>
          <w:i/>
          <w:iCs/>
          <w:sz w:val="24"/>
          <w:szCs w:val="24"/>
        </w:rPr>
        <w:t>musyarakah</w:t>
      </w:r>
      <w:proofErr w:type="spellEnd"/>
      <w:r w:rsidR="00E462E7" w:rsidRPr="00B14ED8">
        <w:rPr>
          <w:rFonts w:ascii="Times New Roman" w:eastAsia="Times New Roman" w:hAnsi="Times New Roman" w:cs="Times New Roman"/>
          <w:i/>
          <w:iCs/>
          <w:sz w:val="24"/>
          <w:szCs w:val="24"/>
        </w:rPr>
        <w:t xml:space="preserve"> </w:t>
      </w:r>
      <w:proofErr w:type="spellStart"/>
      <w:r w:rsidR="00E522E3" w:rsidRPr="00B14ED8">
        <w:rPr>
          <w:rFonts w:ascii="Times New Roman" w:eastAsia="Times New Roman" w:hAnsi="Times New Roman" w:cs="Times New Roman"/>
          <w:sz w:val="24"/>
          <w:szCs w:val="24"/>
        </w:rPr>
        <w:t>dengan</w:t>
      </w:r>
      <w:proofErr w:type="spellEnd"/>
      <w:r w:rsidR="00E522E3" w:rsidRPr="00B14ED8">
        <w:rPr>
          <w:rFonts w:ascii="Times New Roman" w:eastAsia="Times New Roman" w:hAnsi="Times New Roman" w:cs="Times New Roman"/>
          <w:sz w:val="24"/>
          <w:szCs w:val="24"/>
        </w:rPr>
        <w:t xml:space="preserve"> </w:t>
      </w:r>
      <w:proofErr w:type="spellStart"/>
      <w:r w:rsidR="00E522E3" w:rsidRPr="00B14ED8">
        <w:rPr>
          <w:rFonts w:ascii="Times New Roman" w:eastAsia="Times New Roman" w:hAnsi="Times New Roman" w:cs="Times New Roman"/>
          <w:sz w:val="24"/>
          <w:szCs w:val="24"/>
        </w:rPr>
        <w:t>risiko</w:t>
      </w:r>
      <w:proofErr w:type="spellEnd"/>
      <w:r w:rsidR="00E522E3" w:rsidRPr="00B14ED8">
        <w:rPr>
          <w:rFonts w:ascii="Times New Roman" w:eastAsia="Times New Roman" w:hAnsi="Times New Roman" w:cs="Times New Roman"/>
          <w:sz w:val="24"/>
          <w:szCs w:val="24"/>
        </w:rPr>
        <w:t xml:space="preserve"> </w:t>
      </w:r>
      <w:proofErr w:type="spellStart"/>
      <w:r w:rsidR="00E522E3" w:rsidRPr="00B14ED8">
        <w:rPr>
          <w:rFonts w:ascii="Times New Roman" w:eastAsia="Times New Roman" w:hAnsi="Times New Roman" w:cs="Times New Roman"/>
          <w:sz w:val="24"/>
          <w:szCs w:val="24"/>
        </w:rPr>
        <w:t>besar</w:t>
      </w:r>
      <w:proofErr w:type="spellEnd"/>
      <w:r w:rsidR="00E522E3" w:rsidRPr="00B14ED8">
        <w:rPr>
          <w:rFonts w:ascii="Times New Roman" w:eastAsia="Times New Roman" w:hAnsi="Times New Roman" w:cs="Times New Roman"/>
          <w:sz w:val="24"/>
          <w:szCs w:val="24"/>
        </w:rPr>
        <w:t xml:space="preserve"> demi </w:t>
      </w:r>
      <w:proofErr w:type="spellStart"/>
      <w:r w:rsidR="00E522E3" w:rsidRPr="00B14ED8">
        <w:rPr>
          <w:rFonts w:ascii="Times New Roman" w:eastAsia="Times New Roman" w:hAnsi="Times New Roman" w:cs="Times New Roman"/>
          <w:sz w:val="24"/>
          <w:szCs w:val="24"/>
        </w:rPr>
        <w:t>menstabilkan</w:t>
      </w:r>
      <w:proofErr w:type="spellEnd"/>
      <w:r w:rsidR="00E522E3" w:rsidRPr="00B14ED8">
        <w:rPr>
          <w:rFonts w:ascii="Times New Roman" w:eastAsia="Times New Roman" w:hAnsi="Times New Roman" w:cs="Times New Roman"/>
          <w:sz w:val="24"/>
          <w:szCs w:val="24"/>
        </w:rPr>
        <w:t xml:space="preserve"> </w:t>
      </w:r>
      <w:proofErr w:type="spellStart"/>
      <w:r w:rsidR="00E522E3" w:rsidRPr="00B14ED8">
        <w:rPr>
          <w:rFonts w:ascii="Times New Roman" w:eastAsia="Times New Roman" w:hAnsi="Times New Roman" w:cs="Times New Roman"/>
          <w:sz w:val="24"/>
          <w:szCs w:val="24"/>
        </w:rPr>
        <w:t>kinerja</w:t>
      </w:r>
      <w:proofErr w:type="spellEnd"/>
      <w:r w:rsidR="00E522E3" w:rsidRPr="00B14ED8">
        <w:rPr>
          <w:rFonts w:ascii="Times New Roman" w:eastAsia="Times New Roman" w:hAnsi="Times New Roman" w:cs="Times New Roman"/>
          <w:sz w:val="24"/>
          <w:szCs w:val="24"/>
        </w:rPr>
        <w:t xml:space="preserve"> </w:t>
      </w:r>
      <w:proofErr w:type="spellStart"/>
      <w:r w:rsidR="00E522E3" w:rsidRPr="00B14ED8">
        <w:rPr>
          <w:rFonts w:ascii="Times New Roman" w:eastAsia="Times New Roman" w:hAnsi="Times New Roman" w:cs="Times New Roman"/>
          <w:sz w:val="24"/>
          <w:szCs w:val="24"/>
        </w:rPr>
        <w:t>keuangan</w:t>
      </w:r>
      <w:proofErr w:type="spellEnd"/>
      <w:r w:rsidR="00E522E3" w:rsidRPr="00B14ED8">
        <w:rPr>
          <w:rFonts w:ascii="Times New Roman" w:eastAsia="Times New Roman" w:hAnsi="Times New Roman" w:cs="Times New Roman"/>
          <w:sz w:val="24"/>
          <w:szCs w:val="24"/>
        </w:rPr>
        <w:t xml:space="preserve"> </w:t>
      </w:r>
      <w:proofErr w:type="spellStart"/>
      <w:r w:rsidR="00BE49F5" w:rsidRPr="00B14ED8">
        <w:rPr>
          <w:rFonts w:ascii="Times New Roman" w:eastAsia="Times New Roman" w:hAnsi="Times New Roman" w:cs="Times New Roman"/>
          <w:sz w:val="24"/>
          <w:szCs w:val="24"/>
        </w:rPr>
        <w:t>perbankan</w:t>
      </w:r>
      <w:proofErr w:type="spellEnd"/>
      <w:r w:rsidR="005033FD" w:rsidRPr="00B14ED8">
        <w:rPr>
          <w:rFonts w:ascii="Times New Roman" w:eastAsia="Times New Roman" w:hAnsi="Times New Roman" w:cs="Times New Roman"/>
          <w:sz w:val="24"/>
          <w:szCs w:val="24"/>
        </w:rPr>
        <w:t>.</w:t>
      </w:r>
    </w:p>
    <w:p w14:paraId="66FAA8AE" w14:textId="77777777" w:rsidR="00DB3B25" w:rsidRPr="00B14ED8" w:rsidRDefault="00DB3B25" w:rsidP="00B14ED8">
      <w:pPr>
        <w:tabs>
          <w:tab w:val="left" w:pos="567"/>
        </w:tabs>
        <w:spacing w:after="0" w:line="360" w:lineRule="auto"/>
        <w:jc w:val="both"/>
        <w:rPr>
          <w:rFonts w:ascii="Times New Roman" w:eastAsia="Times New Roman" w:hAnsi="Times New Roman" w:cs="Times New Roman"/>
          <w:sz w:val="24"/>
          <w:szCs w:val="24"/>
        </w:rPr>
      </w:pPr>
    </w:p>
    <w:p w14:paraId="6E4AD0B6" w14:textId="77777777" w:rsidR="005111AC" w:rsidRPr="00B14ED8" w:rsidRDefault="00D46250" w:rsidP="00B14ED8">
      <w:pPr>
        <w:tabs>
          <w:tab w:val="left" w:pos="567"/>
        </w:tabs>
        <w:spacing w:after="0" w:line="360" w:lineRule="auto"/>
        <w:jc w:val="both"/>
        <w:rPr>
          <w:rFonts w:ascii="Times New Roman" w:eastAsia="Times New Roman" w:hAnsi="Times New Roman" w:cs="Times New Roman"/>
          <w:b/>
          <w:sz w:val="24"/>
          <w:szCs w:val="24"/>
        </w:rPr>
      </w:pPr>
      <w:r w:rsidRPr="00B14ED8">
        <w:rPr>
          <w:rFonts w:ascii="Times New Roman" w:eastAsia="Times New Roman" w:hAnsi="Times New Roman" w:cs="Times New Roman"/>
          <w:b/>
          <w:sz w:val="24"/>
          <w:szCs w:val="24"/>
        </w:rPr>
        <w:t>E.</w:t>
      </w:r>
      <w:r w:rsidRPr="00B14ED8">
        <w:rPr>
          <w:rFonts w:ascii="Times New Roman" w:eastAsia="Times New Roman" w:hAnsi="Times New Roman" w:cs="Times New Roman"/>
          <w:b/>
          <w:sz w:val="24"/>
          <w:szCs w:val="24"/>
        </w:rPr>
        <w:tab/>
        <w:t>KESIMPULAN</w:t>
      </w:r>
    </w:p>
    <w:p w14:paraId="2FED949E" w14:textId="698608A0" w:rsidR="005111AC" w:rsidRPr="00B14ED8" w:rsidRDefault="00D46250" w:rsidP="00B14ED8">
      <w:pPr>
        <w:tabs>
          <w:tab w:val="left" w:pos="567"/>
        </w:tabs>
        <w:spacing w:after="0" w:line="360" w:lineRule="auto"/>
        <w:jc w:val="both"/>
        <w:rPr>
          <w:rFonts w:ascii="Times New Roman" w:eastAsia="Times" w:hAnsi="Times New Roman" w:cs="Times New Roman"/>
          <w:sz w:val="24"/>
          <w:szCs w:val="24"/>
          <w:highlight w:val="white"/>
        </w:rPr>
      </w:pPr>
      <w:r w:rsidRPr="00B14ED8">
        <w:rPr>
          <w:rFonts w:ascii="Times New Roman" w:eastAsia="Times New Roman" w:hAnsi="Times New Roman" w:cs="Times New Roman"/>
          <w:sz w:val="24"/>
          <w:szCs w:val="24"/>
        </w:rPr>
        <w:tab/>
      </w:r>
      <w:r w:rsidR="00C852AC" w:rsidRPr="00B14ED8">
        <w:rPr>
          <w:rFonts w:ascii="Times New Roman" w:eastAsia="Times" w:hAnsi="Times New Roman" w:cs="Times New Roman"/>
          <w:sz w:val="24"/>
          <w:szCs w:val="24"/>
          <w:highlight w:val="white"/>
        </w:rPr>
        <w:t xml:space="preserve">Kesimpulan yang </w:t>
      </w:r>
      <w:proofErr w:type="spellStart"/>
      <w:r w:rsidR="00C852AC" w:rsidRPr="00B14ED8">
        <w:rPr>
          <w:rFonts w:ascii="Times New Roman" w:eastAsia="Times" w:hAnsi="Times New Roman" w:cs="Times New Roman"/>
          <w:sz w:val="24"/>
          <w:szCs w:val="24"/>
          <w:highlight w:val="white"/>
        </w:rPr>
        <w:t>dapat</w:t>
      </w:r>
      <w:proofErr w:type="spellEnd"/>
      <w:r w:rsidR="00C852AC" w:rsidRPr="00B14ED8">
        <w:rPr>
          <w:rFonts w:ascii="Times New Roman" w:eastAsia="Times" w:hAnsi="Times New Roman" w:cs="Times New Roman"/>
          <w:sz w:val="24"/>
          <w:szCs w:val="24"/>
          <w:highlight w:val="white"/>
        </w:rPr>
        <w:t xml:space="preserve"> </w:t>
      </w:r>
      <w:proofErr w:type="spellStart"/>
      <w:r w:rsidR="00C852AC" w:rsidRPr="00B14ED8">
        <w:rPr>
          <w:rFonts w:ascii="Times New Roman" w:eastAsia="Times" w:hAnsi="Times New Roman" w:cs="Times New Roman"/>
          <w:sz w:val="24"/>
          <w:szCs w:val="24"/>
          <w:highlight w:val="white"/>
        </w:rPr>
        <w:t>diambil</w:t>
      </w:r>
      <w:proofErr w:type="spellEnd"/>
      <w:r w:rsidR="00C852AC" w:rsidRPr="00B14ED8">
        <w:rPr>
          <w:rFonts w:ascii="Times New Roman" w:eastAsia="Times" w:hAnsi="Times New Roman" w:cs="Times New Roman"/>
          <w:sz w:val="24"/>
          <w:szCs w:val="24"/>
          <w:highlight w:val="white"/>
        </w:rPr>
        <w:t xml:space="preserve"> </w:t>
      </w:r>
      <w:proofErr w:type="spellStart"/>
      <w:r w:rsidR="00C852AC" w:rsidRPr="00B14ED8">
        <w:rPr>
          <w:rFonts w:ascii="Times New Roman" w:eastAsia="Times" w:hAnsi="Times New Roman" w:cs="Times New Roman"/>
          <w:sz w:val="24"/>
          <w:szCs w:val="24"/>
          <w:highlight w:val="white"/>
        </w:rPr>
        <w:t>dari</w:t>
      </w:r>
      <w:proofErr w:type="spellEnd"/>
      <w:r w:rsidR="00C852AC" w:rsidRPr="00B14ED8">
        <w:rPr>
          <w:rFonts w:ascii="Times New Roman" w:eastAsia="Times" w:hAnsi="Times New Roman" w:cs="Times New Roman"/>
          <w:sz w:val="24"/>
          <w:szCs w:val="24"/>
          <w:highlight w:val="white"/>
        </w:rPr>
        <w:t xml:space="preserve"> </w:t>
      </w:r>
      <w:proofErr w:type="spellStart"/>
      <w:r w:rsidR="00C852AC" w:rsidRPr="00B14ED8">
        <w:rPr>
          <w:rFonts w:ascii="Times New Roman" w:eastAsia="Times" w:hAnsi="Times New Roman" w:cs="Times New Roman"/>
          <w:sz w:val="24"/>
          <w:szCs w:val="24"/>
          <w:highlight w:val="white"/>
        </w:rPr>
        <w:t>hasil</w:t>
      </w:r>
      <w:proofErr w:type="spellEnd"/>
      <w:r w:rsidR="00C852AC" w:rsidRPr="00B14ED8">
        <w:rPr>
          <w:rFonts w:ascii="Times New Roman" w:eastAsia="Times" w:hAnsi="Times New Roman" w:cs="Times New Roman"/>
          <w:sz w:val="24"/>
          <w:szCs w:val="24"/>
          <w:highlight w:val="white"/>
        </w:rPr>
        <w:t xml:space="preserve"> </w:t>
      </w:r>
      <w:proofErr w:type="spellStart"/>
      <w:r w:rsidR="00C852AC" w:rsidRPr="00B14ED8">
        <w:rPr>
          <w:rFonts w:ascii="Times New Roman" w:eastAsia="Times" w:hAnsi="Times New Roman" w:cs="Times New Roman"/>
          <w:sz w:val="24"/>
          <w:szCs w:val="24"/>
          <w:highlight w:val="white"/>
        </w:rPr>
        <w:t>analisis</w:t>
      </w:r>
      <w:proofErr w:type="spellEnd"/>
      <w:r w:rsidR="00C852AC" w:rsidRPr="00B14ED8">
        <w:rPr>
          <w:rFonts w:ascii="Times New Roman" w:eastAsia="Times" w:hAnsi="Times New Roman" w:cs="Times New Roman"/>
          <w:sz w:val="24"/>
          <w:szCs w:val="24"/>
          <w:highlight w:val="white"/>
        </w:rPr>
        <w:t xml:space="preserve"> </w:t>
      </w:r>
      <w:proofErr w:type="spellStart"/>
      <w:r w:rsidR="00C852AC" w:rsidRPr="00B14ED8">
        <w:rPr>
          <w:rFonts w:ascii="Times New Roman" w:eastAsia="Times" w:hAnsi="Times New Roman" w:cs="Times New Roman"/>
          <w:sz w:val="24"/>
          <w:szCs w:val="24"/>
          <w:highlight w:val="white"/>
        </w:rPr>
        <w:t>penelitian</w:t>
      </w:r>
      <w:proofErr w:type="spellEnd"/>
      <w:r w:rsidR="00C852AC" w:rsidRPr="00B14ED8">
        <w:rPr>
          <w:rFonts w:ascii="Times New Roman" w:eastAsia="Times" w:hAnsi="Times New Roman" w:cs="Times New Roman"/>
          <w:sz w:val="24"/>
          <w:szCs w:val="24"/>
          <w:highlight w:val="white"/>
        </w:rPr>
        <w:t xml:space="preserve"> </w:t>
      </w:r>
      <w:proofErr w:type="spellStart"/>
      <w:r w:rsidR="00C852AC" w:rsidRPr="00B14ED8">
        <w:rPr>
          <w:rFonts w:ascii="Times New Roman" w:eastAsia="Times" w:hAnsi="Times New Roman" w:cs="Times New Roman"/>
          <w:sz w:val="24"/>
          <w:szCs w:val="24"/>
          <w:highlight w:val="white"/>
        </w:rPr>
        <w:t>ini</w:t>
      </w:r>
      <w:proofErr w:type="spellEnd"/>
      <w:r w:rsidR="00C852AC" w:rsidRPr="00B14ED8">
        <w:rPr>
          <w:rFonts w:ascii="Times New Roman" w:eastAsia="Times" w:hAnsi="Times New Roman" w:cs="Times New Roman"/>
          <w:sz w:val="24"/>
          <w:szCs w:val="24"/>
          <w:highlight w:val="white"/>
        </w:rPr>
        <w:t xml:space="preserve"> </w:t>
      </w:r>
      <w:proofErr w:type="spellStart"/>
      <w:r w:rsidR="00C852AC" w:rsidRPr="00B14ED8">
        <w:rPr>
          <w:rFonts w:ascii="Times New Roman" w:eastAsia="Times" w:hAnsi="Times New Roman" w:cs="Times New Roman"/>
          <w:sz w:val="24"/>
          <w:szCs w:val="24"/>
          <w:highlight w:val="white"/>
        </w:rPr>
        <w:t>antara</w:t>
      </w:r>
      <w:proofErr w:type="spellEnd"/>
      <w:r w:rsidR="00C852AC" w:rsidRPr="00B14ED8">
        <w:rPr>
          <w:rFonts w:ascii="Times New Roman" w:eastAsia="Times" w:hAnsi="Times New Roman" w:cs="Times New Roman"/>
          <w:sz w:val="24"/>
          <w:szCs w:val="24"/>
          <w:highlight w:val="white"/>
        </w:rPr>
        <w:t xml:space="preserve"> lain </w:t>
      </w:r>
      <w:proofErr w:type="spellStart"/>
      <w:r w:rsidR="00C852AC" w:rsidRPr="00B14ED8">
        <w:rPr>
          <w:rFonts w:ascii="Times New Roman" w:eastAsia="Times" w:hAnsi="Times New Roman" w:cs="Times New Roman"/>
          <w:sz w:val="24"/>
          <w:szCs w:val="24"/>
          <w:highlight w:val="white"/>
        </w:rPr>
        <w:t>adalah</w:t>
      </w:r>
      <w:proofErr w:type="spellEnd"/>
      <w:r w:rsidR="00C852AC" w:rsidRPr="00B14ED8">
        <w:rPr>
          <w:rFonts w:ascii="Times New Roman" w:eastAsia="Times" w:hAnsi="Times New Roman" w:cs="Times New Roman"/>
          <w:sz w:val="24"/>
          <w:szCs w:val="24"/>
          <w:highlight w:val="white"/>
        </w:rPr>
        <w:t xml:space="preserve"> </w:t>
      </w:r>
      <w:proofErr w:type="spellStart"/>
      <w:r w:rsidR="00C852AC" w:rsidRPr="00B14ED8">
        <w:rPr>
          <w:rFonts w:ascii="Times New Roman" w:eastAsia="Times" w:hAnsi="Times New Roman" w:cs="Times New Roman"/>
          <w:sz w:val="24"/>
          <w:szCs w:val="24"/>
          <w:highlight w:val="white"/>
        </w:rPr>
        <w:t>sebagai</w:t>
      </w:r>
      <w:proofErr w:type="spellEnd"/>
      <w:r w:rsidR="00C852AC" w:rsidRPr="00B14ED8">
        <w:rPr>
          <w:rFonts w:ascii="Times New Roman" w:eastAsia="Times" w:hAnsi="Times New Roman" w:cs="Times New Roman"/>
          <w:sz w:val="24"/>
          <w:szCs w:val="24"/>
          <w:highlight w:val="white"/>
        </w:rPr>
        <w:t xml:space="preserve"> </w:t>
      </w:r>
      <w:proofErr w:type="spellStart"/>
      <w:r w:rsidR="00C852AC" w:rsidRPr="00B14ED8">
        <w:rPr>
          <w:rFonts w:ascii="Times New Roman" w:eastAsia="Times" w:hAnsi="Times New Roman" w:cs="Times New Roman"/>
          <w:sz w:val="24"/>
          <w:szCs w:val="24"/>
          <w:highlight w:val="white"/>
        </w:rPr>
        <w:t>berikut</w:t>
      </w:r>
      <w:proofErr w:type="spellEnd"/>
      <w:r w:rsidR="00C852AC" w:rsidRPr="00B14ED8">
        <w:rPr>
          <w:rFonts w:ascii="Times New Roman" w:eastAsia="Times" w:hAnsi="Times New Roman" w:cs="Times New Roman"/>
          <w:sz w:val="24"/>
          <w:szCs w:val="24"/>
          <w:highlight w:val="white"/>
        </w:rPr>
        <w:t>:</w:t>
      </w:r>
      <w:r w:rsidRPr="00B14ED8">
        <w:rPr>
          <w:rFonts w:ascii="Times New Roman" w:eastAsia="Times" w:hAnsi="Times New Roman" w:cs="Times New Roman"/>
          <w:sz w:val="24"/>
          <w:szCs w:val="24"/>
          <w:highlight w:val="white"/>
        </w:rPr>
        <w:t xml:space="preserve"> </w:t>
      </w:r>
    </w:p>
    <w:p w14:paraId="5962C544" w14:textId="193D42B5" w:rsidR="0078284E" w:rsidRPr="00B14ED8" w:rsidRDefault="00406AEB" w:rsidP="00B14ED8">
      <w:pPr>
        <w:pStyle w:val="ListParagraph"/>
        <w:numPr>
          <w:ilvl w:val="0"/>
          <w:numId w:val="17"/>
        </w:numPr>
        <w:spacing w:after="0" w:line="360" w:lineRule="auto"/>
        <w:ind w:left="567" w:hanging="567"/>
        <w:jc w:val="both"/>
        <w:rPr>
          <w:rFonts w:ascii="Times New Roman" w:hAnsi="Times New Roman" w:cs="Times New Roman"/>
          <w:sz w:val="24"/>
          <w:szCs w:val="24"/>
        </w:rPr>
      </w:pPr>
      <w:proofErr w:type="spellStart"/>
      <w:r w:rsidRPr="00B14ED8">
        <w:rPr>
          <w:rFonts w:ascii="Times New Roman" w:eastAsia="Times New Roman" w:hAnsi="Times New Roman" w:cs="Times New Roman"/>
          <w:sz w:val="24"/>
          <w:szCs w:val="24"/>
        </w:rPr>
        <w:t>P</w:t>
      </w:r>
      <w:r w:rsidR="0078284E" w:rsidRPr="00B14ED8">
        <w:rPr>
          <w:rFonts w:ascii="Times New Roman" w:eastAsia="Times New Roman" w:hAnsi="Times New Roman" w:cs="Times New Roman"/>
          <w:sz w:val="24"/>
          <w:szCs w:val="24"/>
        </w:rPr>
        <w:t>embiayaan</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i/>
          <w:iCs/>
          <w:sz w:val="24"/>
          <w:szCs w:val="24"/>
        </w:rPr>
        <w:t>mudharabah</w:t>
      </w:r>
      <w:proofErr w:type="spellEnd"/>
      <w:r w:rsidR="0078284E" w:rsidRPr="00B14ED8">
        <w:rPr>
          <w:rFonts w:ascii="Times New Roman" w:eastAsia="Times New Roman" w:hAnsi="Times New Roman" w:cs="Times New Roman"/>
          <w:i/>
          <w:iCs/>
          <w:sz w:val="24"/>
          <w:szCs w:val="24"/>
        </w:rPr>
        <w:t xml:space="preserve"> </w:t>
      </w:r>
      <w:proofErr w:type="spellStart"/>
      <w:r w:rsidR="0078284E" w:rsidRPr="00B14ED8">
        <w:rPr>
          <w:rFonts w:ascii="Times New Roman" w:eastAsia="Times New Roman" w:hAnsi="Times New Roman" w:cs="Times New Roman"/>
          <w:sz w:val="24"/>
          <w:szCs w:val="24"/>
        </w:rPr>
        <w:t>terbukti</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sz w:val="24"/>
          <w:szCs w:val="24"/>
        </w:rPr>
        <w:t>memberikan</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sz w:val="24"/>
          <w:szCs w:val="24"/>
        </w:rPr>
        <w:t>pengaruh</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sz w:val="24"/>
          <w:szCs w:val="24"/>
        </w:rPr>
        <w:t>positif</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sz w:val="24"/>
          <w:szCs w:val="24"/>
        </w:rPr>
        <w:t>terhadap</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sz w:val="24"/>
          <w:szCs w:val="24"/>
        </w:rPr>
        <w:t>kinerja</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sz w:val="24"/>
          <w:szCs w:val="24"/>
        </w:rPr>
        <w:t>keuangan</w:t>
      </w:r>
      <w:proofErr w:type="spellEnd"/>
      <w:r w:rsidR="00C5742F" w:rsidRPr="00B14ED8">
        <w:rPr>
          <w:rFonts w:ascii="Times New Roman" w:eastAsia="Times New Roman" w:hAnsi="Times New Roman" w:cs="Times New Roman"/>
          <w:sz w:val="24"/>
          <w:szCs w:val="24"/>
        </w:rPr>
        <w:t>.</w:t>
      </w:r>
    </w:p>
    <w:p w14:paraId="3D369B3F" w14:textId="641F7E41" w:rsidR="0078284E" w:rsidRPr="00B14ED8" w:rsidRDefault="00406AEB" w:rsidP="00B14ED8">
      <w:pPr>
        <w:pStyle w:val="ListParagraph"/>
        <w:numPr>
          <w:ilvl w:val="0"/>
          <w:numId w:val="17"/>
        </w:numPr>
        <w:spacing w:after="0" w:line="360" w:lineRule="auto"/>
        <w:ind w:left="567" w:hanging="567"/>
        <w:jc w:val="both"/>
        <w:rPr>
          <w:rFonts w:ascii="Times New Roman" w:hAnsi="Times New Roman" w:cs="Times New Roman"/>
          <w:sz w:val="24"/>
          <w:szCs w:val="24"/>
        </w:rPr>
      </w:pPr>
      <w:proofErr w:type="spellStart"/>
      <w:r w:rsidRPr="00B14ED8">
        <w:rPr>
          <w:rFonts w:ascii="Times New Roman" w:eastAsia="Times New Roman" w:hAnsi="Times New Roman" w:cs="Times New Roman"/>
          <w:sz w:val="24"/>
          <w:szCs w:val="24"/>
        </w:rPr>
        <w:t>P</w:t>
      </w:r>
      <w:r w:rsidR="0078284E" w:rsidRPr="00B14ED8">
        <w:rPr>
          <w:rFonts w:ascii="Times New Roman" w:eastAsia="Times New Roman" w:hAnsi="Times New Roman" w:cs="Times New Roman"/>
          <w:sz w:val="24"/>
          <w:szCs w:val="24"/>
        </w:rPr>
        <w:t>embiayaan</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i/>
          <w:iCs/>
          <w:sz w:val="24"/>
          <w:szCs w:val="24"/>
        </w:rPr>
        <w:t>musyarakah</w:t>
      </w:r>
      <w:proofErr w:type="spellEnd"/>
      <w:r w:rsidR="0078284E" w:rsidRPr="00B14ED8">
        <w:rPr>
          <w:rFonts w:ascii="Times New Roman" w:eastAsia="Times New Roman" w:hAnsi="Times New Roman" w:cs="Times New Roman"/>
          <w:i/>
          <w:iCs/>
          <w:sz w:val="24"/>
          <w:szCs w:val="24"/>
        </w:rPr>
        <w:t xml:space="preserve"> </w:t>
      </w:r>
      <w:proofErr w:type="spellStart"/>
      <w:r w:rsidR="0078284E" w:rsidRPr="00B14ED8">
        <w:rPr>
          <w:rFonts w:ascii="Times New Roman" w:eastAsia="Times New Roman" w:hAnsi="Times New Roman" w:cs="Times New Roman"/>
          <w:sz w:val="24"/>
          <w:szCs w:val="24"/>
        </w:rPr>
        <w:t>terbukti</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sz w:val="24"/>
          <w:szCs w:val="24"/>
        </w:rPr>
        <w:t>memberikan</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sz w:val="24"/>
          <w:szCs w:val="24"/>
        </w:rPr>
        <w:t>pengaruh</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sz w:val="24"/>
          <w:szCs w:val="24"/>
        </w:rPr>
        <w:t>positif</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sz w:val="24"/>
          <w:szCs w:val="24"/>
        </w:rPr>
        <w:t>terhadap</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sz w:val="24"/>
          <w:szCs w:val="24"/>
        </w:rPr>
        <w:t>kinerja</w:t>
      </w:r>
      <w:proofErr w:type="spellEnd"/>
      <w:r w:rsidR="0078284E" w:rsidRPr="00B14ED8">
        <w:rPr>
          <w:rFonts w:ascii="Times New Roman" w:eastAsia="Times New Roman" w:hAnsi="Times New Roman" w:cs="Times New Roman"/>
          <w:sz w:val="24"/>
          <w:szCs w:val="24"/>
        </w:rPr>
        <w:t xml:space="preserve"> </w:t>
      </w:r>
      <w:proofErr w:type="spellStart"/>
      <w:r w:rsidR="00D352C0" w:rsidRPr="00B14ED8">
        <w:rPr>
          <w:rFonts w:ascii="Times New Roman" w:eastAsia="Times New Roman" w:hAnsi="Times New Roman" w:cs="Times New Roman"/>
          <w:sz w:val="24"/>
          <w:szCs w:val="24"/>
        </w:rPr>
        <w:t>keuangan</w:t>
      </w:r>
      <w:proofErr w:type="spellEnd"/>
      <w:r w:rsidR="00C5742F" w:rsidRPr="00B14ED8">
        <w:rPr>
          <w:rFonts w:ascii="Times New Roman" w:eastAsia="Times New Roman" w:hAnsi="Times New Roman" w:cs="Times New Roman"/>
          <w:sz w:val="24"/>
          <w:szCs w:val="24"/>
        </w:rPr>
        <w:t>.</w:t>
      </w:r>
    </w:p>
    <w:p w14:paraId="72EE8CAF" w14:textId="1E7D42F6" w:rsidR="0078284E" w:rsidRPr="00B14ED8" w:rsidRDefault="00406AEB" w:rsidP="00B14ED8">
      <w:pPr>
        <w:pStyle w:val="ListParagraph"/>
        <w:numPr>
          <w:ilvl w:val="0"/>
          <w:numId w:val="17"/>
        </w:numPr>
        <w:spacing w:after="0" w:line="360" w:lineRule="auto"/>
        <w:ind w:left="567" w:hanging="567"/>
        <w:jc w:val="both"/>
        <w:rPr>
          <w:rFonts w:ascii="Times New Roman" w:hAnsi="Times New Roman" w:cs="Times New Roman"/>
          <w:sz w:val="24"/>
          <w:szCs w:val="24"/>
        </w:rPr>
      </w:pPr>
      <w:proofErr w:type="spellStart"/>
      <w:r w:rsidRPr="00B14ED8">
        <w:rPr>
          <w:rFonts w:ascii="Times New Roman" w:eastAsia="Times New Roman" w:hAnsi="Times New Roman" w:cs="Times New Roman"/>
          <w:sz w:val="24"/>
          <w:szCs w:val="24"/>
        </w:rPr>
        <w:t>M</w:t>
      </w:r>
      <w:r w:rsidR="0078284E" w:rsidRPr="00B14ED8">
        <w:rPr>
          <w:rFonts w:ascii="Times New Roman" w:eastAsia="Times New Roman" w:hAnsi="Times New Roman" w:cs="Times New Roman"/>
          <w:sz w:val="24"/>
          <w:szCs w:val="24"/>
        </w:rPr>
        <w:t>anajemen</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sz w:val="24"/>
          <w:szCs w:val="24"/>
        </w:rPr>
        <w:t>risiko</w:t>
      </w:r>
      <w:proofErr w:type="spellEnd"/>
      <w:r w:rsidR="0078284E" w:rsidRPr="00B14ED8">
        <w:rPr>
          <w:rFonts w:ascii="Times New Roman" w:eastAsia="Times New Roman" w:hAnsi="Times New Roman" w:cs="Times New Roman"/>
          <w:sz w:val="24"/>
          <w:szCs w:val="24"/>
        </w:rPr>
        <w:t xml:space="preserve"> </w:t>
      </w:r>
      <w:proofErr w:type="spellStart"/>
      <w:r w:rsidR="00865611" w:rsidRPr="00B14ED8">
        <w:rPr>
          <w:rFonts w:ascii="Times New Roman" w:eastAsia="Times New Roman" w:hAnsi="Times New Roman" w:cs="Times New Roman"/>
          <w:sz w:val="24"/>
          <w:szCs w:val="24"/>
        </w:rPr>
        <w:t>memperlemah</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sz w:val="24"/>
          <w:szCs w:val="24"/>
        </w:rPr>
        <w:t>pengaruh</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sz w:val="24"/>
          <w:szCs w:val="24"/>
        </w:rPr>
        <w:t>pembiayaan</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i/>
          <w:iCs/>
          <w:sz w:val="24"/>
          <w:szCs w:val="24"/>
        </w:rPr>
        <w:t>mudharabah</w:t>
      </w:r>
      <w:proofErr w:type="spellEnd"/>
      <w:r w:rsidR="0078284E" w:rsidRPr="00B14ED8">
        <w:rPr>
          <w:rFonts w:ascii="Times New Roman" w:eastAsia="Times New Roman" w:hAnsi="Times New Roman" w:cs="Times New Roman"/>
          <w:i/>
          <w:iCs/>
          <w:sz w:val="24"/>
          <w:szCs w:val="24"/>
        </w:rPr>
        <w:t xml:space="preserve"> </w:t>
      </w:r>
      <w:proofErr w:type="spellStart"/>
      <w:r w:rsidR="0078284E" w:rsidRPr="00B14ED8">
        <w:rPr>
          <w:rFonts w:ascii="Times New Roman" w:eastAsia="Times New Roman" w:hAnsi="Times New Roman" w:cs="Times New Roman"/>
          <w:sz w:val="24"/>
          <w:szCs w:val="24"/>
        </w:rPr>
        <w:t>terhadap</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sz w:val="24"/>
          <w:szCs w:val="24"/>
        </w:rPr>
        <w:t>kinerja</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sz w:val="24"/>
          <w:szCs w:val="24"/>
        </w:rPr>
        <w:t>keuangan</w:t>
      </w:r>
      <w:proofErr w:type="spellEnd"/>
      <w:r w:rsidR="00C5742F" w:rsidRPr="00B14ED8">
        <w:rPr>
          <w:rFonts w:ascii="Times New Roman" w:eastAsia="Times New Roman" w:hAnsi="Times New Roman" w:cs="Times New Roman"/>
          <w:sz w:val="24"/>
          <w:szCs w:val="24"/>
        </w:rPr>
        <w:t>.</w:t>
      </w:r>
    </w:p>
    <w:p w14:paraId="44981CBF" w14:textId="2119E1DB" w:rsidR="0078284E" w:rsidRPr="00B14ED8" w:rsidRDefault="00934105" w:rsidP="00B14ED8">
      <w:pPr>
        <w:pStyle w:val="ListParagraph"/>
        <w:numPr>
          <w:ilvl w:val="0"/>
          <w:numId w:val="17"/>
        </w:numPr>
        <w:spacing w:after="0" w:line="360" w:lineRule="auto"/>
        <w:ind w:left="567" w:hanging="567"/>
        <w:jc w:val="both"/>
        <w:rPr>
          <w:rFonts w:ascii="Times New Roman" w:hAnsi="Times New Roman" w:cs="Times New Roman"/>
          <w:sz w:val="24"/>
          <w:szCs w:val="24"/>
        </w:rPr>
      </w:pPr>
      <w:proofErr w:type="spellStart"/>
      <w:r w:rsidRPr="00B14ED8">
        <w:rPr>
          <w:rFonts w:ascii="Times New Roman" w:eastAsia="Times New Roman" w:hAnsi="Times New Roman" w:cs="Times New Roman"/>
          <w:sz w:val="24"/>
          <w:szCs w:val="24"/>
        </w:rPr>
        <w:t>M</w:t>
      </w:r>
      <w:r w:rsidR="0078284E" w:rsidRPr="00B14ED8">
        <w:rPr>
          <w:rFonts w:ascii="Times New Roman" w:eastAsia="Times New Roman" w:hAnsi="Times New Roman" w:cs="Times New Roman"/>
          <w:sz w:val="24"/>
          <w:szCs w:val="24"/>
        </w:rPr>
        <w:t>anajemen</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sz w:val="24"/>
          <w:szCs w:val="24"/>
        </w:rPr>
        <w:t>risiko</w:t>
      </w:r>
      <w:proofErr w:type="spellEnd"/>
      <w:r w:rsidR="0078284E" w:rsidRPr="00B14ED8">
        <w:rPr>
          <w:rFonts w:ascii="Times New Roman" w:eastAsia="Times New Roman" w:hAnsi="Times New Roman" w:cs="Times New Roman"/>
          <w:sz w:val="24"/>
          <w:szCs w:val="24"/>
        </w:rPr>
        <w:t xml:space="preserve"> </w:t>
      </w:r>
      <w:proofErr w:type="spellStart"/>
      <w:r w:rsidR="005447C5" w:rsidRPr="00B14ED8">
        <w:rPr>
          <w:rFonts w:ascii="Times New Roman" w:eastAsia="Times New Roman" w:hAnsi="Times New Roman" w:cs="Times New Roman"/>
          <w:sz w:val="24"/>
          <w:szCs w:val="24"/>
        </w:rPr>
        <w:t>memperlemah</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sz w:val="24"/>
          <w:szCs w:val="24"/>
        </w:rPr>
        <w:t>pengaruh</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sz w:val="24"/>
          <w:szCs w:val="24"/>
        </w:rPr>
        <w:t>pembiayaan</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i/>
          <w:iCs/>
          <w:sz w:val="24"/>
          <w:szCs w:val="24"/>
        </w:rPr>
        <w:t>musyarakah</w:t>
      </w:r>
      <w:proofErr w:type="spellEnd"/>
      <w:r w:rsidR="0078284E" w:rsidRPr="00B14ED8">
        <w:rPr>
          <w:rFonts w:ascii="Times New Roman" w:eastAsia="Times New Roman" w:hAnsi="Times New Roman" w:cs="Times New Roman"/>
          <w:i/>
          <w:iCs/>
          <w:sz w:val="24"/>
          <w:szCs w:val="24"/>
        </w:rPr>
        <w:t xml:space="preserve"> </w:t>
      </w:r>
      <w:proofErr w:type="spellStart"/>
      <w:r w:rsidR="0078284E" w:rsidRPr="00B14ED8">
        <w:rPr>
          <w:rFonts w:ascii="Times New Roman" w:eastAsia="Times New Roman" w:hAnsi="Times New Roman" w:cs="Times New Roman"/>
          <w:sz w:val="24"/>
          <w:szCs w:val="24"/>
        </w:rPr>
        <w:t>terhadap</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sz w:val="24"/>
          <w:szCs w:val="24"/>
        </w:rPr>
        <w:t>kinerja</w:t>
      </w:r>
      <w:proofErr w:type="spellEnd"/>
      <w:r w:rsidR="0078284E" w:rsidRPr="00B14ED8">
        <w:rPr>
          <w:rFonts w:ascii="Times New Roman" w:eastAsia="Times New Roman" w:hAnsi="Times New Roman" w:cs="Times New Roman"/>
          <w:sz w:val="24"/>
          <w:szCs w:val="24"/>
        </w:rPr>
        <w:t xml:space="preserve"> </w:t>
      </w:r>
      <w:proofErr w:type="spellStart"/>
      <w:r w:rsidR="0078284E" w:rsidRPr="00B14ED8">
        <w:rPr>
          <w:rFonts w:ascii="Times New Roman" w:eastAsia="Times New Roman" w:hAnsi="Times New Roman" w:cs="Times New Roman"/>
          <w:sz w:val="24"/>
          <w:szCs w:val="24"/>
        </w:rPr>
        <w:t>keuangan</w:t>
      </w:r>
      <w:proofErr w:type="spellEnd"/>
      <w:r w:rsidR="00C5742F" w:rsidRPr="00B14ED8">
        <w:rPr>
          <w:rFonts w:ascii="Times New Roman" w:eastAsia="Times New Roman" w:hAnsi="Times New Roman" w:cs="Times New Roman"/>
          <w:sz w:val="24"/>
          <w:szCs w:val="24"/>
        </w:rPr>
        <w:t>.</w:t>
      </w:r>
    </w:p>
    <w:p w14:paraId="30811A99" w14:textId="66BF8BE0" w:rsidR="00257FD4" w:rsidRPr="00B14ED8" w:rsidRDefault="005005E6" w:rsidP="00B14ED8">
      <w:pPr>
        <w:pStyle w:val="ListParagraph"/>
        <w:numPr>
          <w:ilvl w:val="0"/>
          <w:numId w:val="17"/>
        </w:numPr>
        <w:spacing w:after="0" w:line="360" w:lineRule="auto"/>
        <w:ind w:left="567" w:hanging="567"/>
        <w:jc w:val="both"/>
        <w:rPr>
          <w:rFonts w:ascii="Times New Roman" w:hAnsi="Times New Roman" w:cs="Times New Roman"/>
          <w:sz w:val="24"/>
          <w:szCs w:val="24"/>
        </w:rPr>
      </w:pPr>
      <w:r w:rsidRPr="00B14ED8">
        <w:rPr>
          <w:rFonts w:ascii="Times New Roman" w:hAnsi="Times New Roman" w:cs="Times New Roman"/>
          <w:sz w:val="24"/>
          <w:szCs w:val="24"/>
        </w:rPr>
        <w:t xml:space="preserve">Dari </w:t>
      </w:r>
      <w:proofErr w:type="spellStart"/>
      <w:r w:rsidRPr="00B14ED8">
        <w:rPr>
          <w:rFonts w:ascii="Times New Roman" w:hAnsi="Times New Roman" w:cs="Times New Roman"/>
          <w:sz w:val="24"/>
          <w:szCs w:val="24"/>
        </w:rPr>
        <w:t>segi</w:t>
      </w:r>
      <w:proofErr w:type="spellEnd"/>
      <w:r w:rsidRPr="00B14ED8">
        <w:rPr>
          <w:rFonts w:ascii="Times New Roman" w:hAnsi="Times New Roman" w:cs="Times New Roman"/>
          <w:sz w:val="24"/>
          <w:szCs w:val="24"/>
        </w:rPr>
        <w:t xml:space="preserve"> </w:t>
      </w:r>
      <w:proofErr w:type="spellStart"/>
      <w:r w:rsidRPr="00B14ED8">
        <w:rPr>
          <w:rFonts w:ascii="Times New Roman" w:hAnsi="Times New Roman" w:cs="Times New Roman"/>
          <w:sz w:val="24"/>
          <w:szCs w:val="24"/>
        </w:rPr>
        <w:t>pengaruh</w:t>
      </w:r>
      <w:proofErr w:type="spellEnd"/>
      <w:r w:rsidRPr="00B14ED8">
        <w:rPr>
          <w:rFonts w:ascii="Times New Roman" w:hAnsi="Times New Roman" w:cs="Times New Roman"/>
          <w:sz w:val="24"/>
          <w:szCs w:val="24"/>
        </w:rPr>
        <w:t xml:space="preserve"> </w:t>
      </w:r>
      <w:proofErr w:type="spellStart"/>
      <w:r w:rsidRPr="00B14ED8">
        <w:rPr>
          <w:rFonts w:ascii="Times New Roman" w:hAnsi="Times New Roman" w:cs="Times New Roman"/>
          <w:sz w:val="24"/>
          <w:szCs w:val="24"/>
        </w:rPr>
        <w:t>langsung</w:t>
      </w:r>
      <w:proofErr w:type="spellEnd"/>
      <w:r w:rsidR="00FF4B1F" w:rsidRPr="00B14ED8">
        <w:rPr>
          <w:rFonts w:ascii="Times New Roman" w:hAnsi="Times New Roman" w:cs="Times New Roman"/>
          <w:sz w:val="24"/>
          <w:szCs w:val="24"/>
        </w:rPr>
        <w:t xml:space="preserve">, </w:t>
      </w:r>
      <w:proofErr w:type="spellStart"/>
      <w:r w:rsidRPr="00B14ED8">
        <w:rPr>
          <w:rFonts w:ascii="Times New Roman" w:hAnsi="Times New Roman" w:cs="Times New Roman"/>
          <w:sz w:val="24"/>
          <w:szCs w:val="24"/>
        </w:rPr>
        <w:t>manajemen</w:t>
      </w:r>
      <w:proofErr w:type="spellEnd"/>
      <w:r w:rsidRPr="00B14ED8">
        <w:rPr>
          <w:rFonts w:ascii="Times New Roman" w:hAnsi="Times New Roman" w:cs="Times New Roman"/>
          <w:sz w:val="24"/>
          <w:szCs w:val="24"/>
        </w:rPr>
        <w:t xml:space="preserve"> </w:t>
      </w:r>
      <w:proofErr w:type="spellStart"/>
      <w:r w:rsidRPr="00B14ED8">
        <w:rPr>
          <w:rFonts w:ascii="Times New Roman" w:hAnsi="Times New Roman" w:cs="Times New Roman"/>
          <w:sz w:val="24"/>
          <w:szCs w:val="24"/>
        </w:rPr>
        <w:t>risiko</w:t>
      </w:r>
      <w:proofErr w:type="spellEnd"/>
      <w:r w:rsidRPr="00B14ED8">
        <w:rPr>
          <w:rFonts w:ascii="Times New Roman" w:hAnsi="Times New Roman" w:cs="Times New Roman"/>
          <w:sz w:val="24"/>
          <w:szCs w:val="24"/>
        </w:rPr>
        <w:t xml:space="preserve"> </w:t>
      </w:r>
      <w:proofErr w:type="spellStart"/>
      <w:r w:rsidRPr="00B14ED8">
        <w:rPr>
          <w:rFonts w:ascii="Times New Roman" w:hAnsi="Times New Roman" w:cs="Times New Roman"/>
          <w:sz w:val="24"/>
          <w:szCs w:val="24"/>
        </w:rPr>
        <w:t>terbukti</w:t>
      </w:r>
      <w:proofErr w:type="spellEnd"/>
      <w:r w:rsidRPr="00B14ED8">
        <w:rPr>
          <w:rFonts w:ascii="Times New Roman" w:hAnsi="Times New Roman" w:cs="Times New Roman"/>
          <w:sz w:val="24"/>
          <w:szCs w:val="24"/>
        </w:rPr>
        <w:t xml:space="preserve"> </w:t>
      </w:r>
      <w:proofErr w:type="spellStart"/>
      <w:r w:rsidRPr="00B14ED8">
        <w:rPr>
          <w:rFonts w:ascii="Times New Roman" w:hAnsi="Times New Roman" w:cs="Times New Roman"/>
          <w:sz w:val="24"/>
          <w:szCs w:val="24"/>
        </w:rPr>
        <w:t>memberikan</w:t>
      </w:r>
      <w:proofErr w:type="spellEnd"/>
      <w:r w:rsidRPr="00B14ED8">
        <w:rPr>
          <w:rFonts w:ascii="Times New Roman" w:hAnsi="Times New Roman" w:cs="Times New Roman"/>
          <w:sz w:val="24"/>
          <w:szCs w:val="24"/>
        </w:rPr>
        <w:t xml:space="preserve"> </w:t>
      </w:r>
      <w:proofErr w:type="spellStart"/>
      <w:r w:rsidRPr="00B14ED8">
        <w:rPr>
          <w:rFonts w:ascii="Times New Roman" w:hAnsi="Times New Roman" w:cs="Times New Roman"/>
          <w:sz w:val="24"/>
          <w:szCs w:val="24"/>
        </w:rPr>
        <w:t>pengaruh</w:t>
      </w:r>
      <w:proofErr w:type="spellEnd"/>
      <w:r w:rsidRPr="00B14ED8">
        <w:rPr>
          <w:rFonts w:ascii="Times New Roman" w:hAnsi="Times New Roman" w:cs="Times New Roman"/>
          <w:sz w:val="24"/>
          <w:szCs w:val="24"/>
        </w:rPr>
        <w:t xml:space="preserve"> paling </w:t>
      </w:r>
      <w:proofErr w:type="spellStart"/>
      <w:r w:rsidRPr="00B14ED8">
        <w:rPr>
          <w:rFonts w:ascii="Times New Roman" w:hAnsi="Times New Roman" w:cs="Times New Roman"/>
          <w:sz w:val="24"/>
          <w:szCs w:val="24"/>
        </w:rPr>
        <w:t>kuat</w:t>
      </w:r>
      <w:proofErr w:type="spellEnd"/>
      <w:r w:rsidRPr="00B14ED8">
        <w:rPr>
          <w:rFonts w:ascii="Times New Roman" w:hAnsi="Times New Roman" w:cs="Times New Roman"/>
          <w:sz w:val="24"/>
          <w:szCs w:val="24"/>
        </w:rPr>
        <w:t xml:space="preserve"> </w:t>
      </w:r>
      <w:proofErr w:type="spellStart"/>
      <w:r w:rsidRPr="00B14ED8">
        <w:rPr>
          <w:rFonts w:ascii="Times New Roman" w:hAnsi="Times New Roman" w:cs="Times New Roman"/>
          <w:sz w:val="24"/>
          <w:szCs w:val="24"/>
        </w:rPr>
        <w:t>dibandingkan</w:t>
      </w:r>
      <w:proofErr w:type="spellEnd"/>
      <w:r w:rsidRPr="00B14ED8">
        <w:rPr>
          <w:rFonts w:ascii="Times New Roman" w:hAnsi="Times New Roman" w:cs="Times New Roman"/>
          <w:sz w:val="24"/>
          <w:szCs w:val="24"/>
        </w:rPr>
        <w:t xml:space="preserve"> </w:t>
      </w:r>
      <w:proofErr w:type="spellStart"/>
      <w:r w:rsidRPr="00B14ED8">
        <w:rPr>
          <w:rFonts w:ascii="Times New Roman" w:hAnsi="Times New Roman" w:cs="Times New Roman"/>
          <w:sz w:val="24"/>
          <w:szCs w:val="24"/>
        </w:rPr>
        <w:t>dengan</w:t>
      </w:r>
      <w:proofErr w:type="spellEnd"/>
      <w:r w:rsidRPr="00B14ED8">
        <w:rPr>
          <w:rFonts w:ascii="Times New Roman" w:hAnsi="Times New Roman" w:cs="Times New Roman"/>
          <w:sz w:val="24"/>
          <w:szCs w:val="24"/>
        </w:rPr>
        <w:t xml:space="preserve"> </w:t>
      </w:r>
      <w:proofErr w:type="spellStart"/>
      <w:r w:rsidRPr="00B14ED8">
        <w:rPr>
          <w:rFonts w:ascii="Times New Roman" w:hAnsi="Times New Roman" w:cs="Times New Roman"/>
          <w:sz w:val="24"/>
          <w:szCs w:val="24"/>
        </w:rPr>
        <w:t>pembiayaan</w:t>
      </w:r>
      <w:proofErr w:type="spellEnd"/>
      <w:r w:rsidRPr="00B14ED8">
        <w:rPr>
          <w:rFonts w:ascii="Times New Roman" w:hAnsi="Times New Roman" w:cs="Times New Roman"/>
          <w:sz w:val="24"/>
          <w:szCs w:val="24"/>
        </w:rPr>
        <w:t xml:space="preserve"> </w:t>
      </w:r>
      <w:proofErr w:type="spellStart"/>
      <w:r w:rsidRPr="00B14ED8">
        <w:rPr>
          <w:rFonts w:ascii="Times New Roman" w:hAnsi="Times New Roman" w:cs="Times New Roman"/>
          <w:i/>
          <w:iCs/>
          <w:sz w:val="24"/>
          <w:szCs w:val="24"/>
        </w:rPr>
        <w:t>mudharabah</w:t>
      </w:r>
      <w:proofErr w:type="spellEnd"/>
      <w:r w:rsidRPr="00B14ED8">
        <w:rPr>
          <w:rFonts w:ascii="Times New Roman" w:hAnsi="Times New Roman" w:cs="Times New Roman"/>
          <w:i/>
          <w:iCs/>
          <w:sz w:val="24"/>
          <w:szCs w:val="24"/>
        </w:rPr>
        <w:t xml:space="preserve"> </w:t>
      </w:r>
      <w:r w:rsidRPr="00B14ED8">
        <w:rPr>
          <w:rFonts w:ascii="Times New Roman" w:hAnsi="Times New Roman" w:cs="Times New Roman"/>
          <w:sz w:val="24"/>
          <w:szCs w:val="24"/>
        </w:rPr>
        <w:t xml:space="preserve">dan </w:t>
      </w:r>
      <w:proofErr w:type="spellStart"/>
      <w:r w:rsidRPr="00B14ED8">
        <w:rPr>
          <w:rFonts w:ascii="Times New Roman" w:hAnsi="Times New Roman" w:cs="Times New Roman"/>
          <w:sz w:val="24"/>
          <w:szCs w:val="24"/>
        </w:rPr>
        <w:t>pembiayaan</w:t>
      </w:r>
      <w:proofErr w:type="spellEnd"/>
      <w:r w:rsidRPr="00B14ED8">
        <w:rPr>
          <w:rFonts w:ascii="Times New Roman" w:hAnsi="Times New Roman" w:cs="Times New Roman"/>
          <w:sz w:val="24"/>
          <w:szCs w:val="24"/>
        </w:rPr>
        <w:t xml:space="preserve"> </w:t>
      </w:r>
      <w:proofErr w:type="spellStart"/>
      <w:r w:rsidRPr="00B14ED8">
        <w:rPr>
          <w:rFonts w:ascii="Times New Roman" w:hAnsi="Times New Roman" w:cs="Times New Roman"/>
          <w:i/>
          <w:iCs/>
          <w:sz w:val="24"/>
          <w:szCs w:val="24"/>
        </w:rPr>
        <w:t>musyarakah</w:t>
      </w:r>
      <w:proofErr w:type="spellEnd"/>
      <w:r w:rsidR="00F5328C" w:rsidRPr="00B14ED8">
        <w:rPr>
          <w:rFonts w:ascii="Times New Roman" w:hAnsi="Times New Roman" w:cs="Times New Roman"/>
          <w:i/>
          <w:iCs/>
          <w:sz w:val="24"/>
          <w:szCs w:val="24"/>
        </w:rPr>
        <w:t>.</w:t>
      </w:r>
      <w:r w:rsidR="00257FD4" w:rsidRPr="00B14ED8">
        <w:rPr>
          <w:rFonts w:ascii="Times New Roman" w:hAnsi="Times New Roman" w:cs="Times New Roman"/>
          <w:sz w:val="24"/>
          <w:szCs w:val="24"/>
        </w:rPr>
        <w:t xml:space="preserve"> </w:t>
      </w:r>
      <w:proofErr w:type="spellStart"/>
      <w:r w:rsidR="005B5E37" w:rsidRPr="00B14ED8">
        <w:rPr>
          <w:rFonts w:ascii="Times New Roman" w:hAnsi="Times New Roman" w:cs="Times New Roman"/>
          <w:sz w:val="24"/>
          <w:szCs w:val="24"/>
        </w:rPr>
        <w:t>Pembiayaan</w:t>
      </w:r>
      <w:proofErr w:type="spellEnd"/>
      <w:r w:rsidR="005B5E37" w:rsidRPr="00B14ED8">
        <w:rPr>
          <w:rFonts w:ascii="Times New Roman" w:hAnsi="Times New Roman" w:cs="Times New Roman"/>
          <w:sz w:val="24"/>
          <w:szCs w:val="24"/>
        </w:rPr>
        <w:t xml:space="preserve"> </w:t>
      </w:r>
      <w:proofErr w:type="spellStart"/>
      <w:r w:rsidR="005B5E37" w:rsidRPr="00B14ED8">
        <w:rPr>
          <w:rFonts w:ascii="Times New Roman" w:hAnsi="Times New Roman" w:cs="Times New Roman"/>
          <w:i/>
          <w:iCs/>
          <w:sz w:val="24"/>
          <w:szCs w:val="24"/>
        </w:rPr>
        <w:t>mudharabah</w:t>
      </w:r>
      <w:proofErr w:type="spellEnd"/>
      <w:r w:rsidR="005B5E37" w:rsidRPr="00B14ED8">
        <w:rPr>
          <w:rFonts w:ascii="Times New Roman" w:hAnsi="Times New Roman" w:cs="Times New Roman"/>
          <w:i/>
          <w:iCs/>
          <w:sz w:val="24"/>
          <w:szCs w:val="24"/>
        </w:rPr>
        <w:t xml:space="preserve"> </w:t>
      </w:r>
      <w:proofErr w:type="spellStart"/>
      <w:r w:rsidR="005B5E37" w:rsidRPr="00B14ED8">
        <w:rPr>
          <w:rFonts w:ascii="Times New Roman" w:hAnsi="Times New Roman" w:cs="Times New Roman"/>
          <w:sz w:val="24"/>
          <w:szCs w:val="24"/>
        </w:rPr>
        <w:t>terbukti</w:t>
      </w:r>
      <w:proofErr w:type="spellEnd"/>
      <w:r w:rsidR="005B5E37" w:rsidRPr="00B14ED8">
        <w:rPr>
          <w:rFonts w:ascii="Times New Roman" w:hAnsi="Times New Roman" w:cs="Times New Roman"/>
          <w:sz w:val="24"/>
          <w:szCs w:val="24"/>
        </w:rPr>
        <w:t xml:space="preserve"> </w:t>
      </w:r>
      <w:proofErr w:type="spellStart"/>
      <w:r w:rsidR="005B5E37" w:rsidRPr="00B14ED8">
        <w:rPr>
          <w:rFonts w:ascii="Times New Roman" w:hAnsi="Times New Roman" w:cs="Times New Roman"/>
          <w:sz w:val="24"/>
          <w:szCs w:val="24"/>
        </w:rPr>
        <w:t>menghasilkan</w:t>
      </w:r>
      <w:proofErr w:type="spellEnd"/>
      <w:r w:rsidR="005B5E37" w:rsidRPr="00B14ED8">
        <w:rPr>
          <w:rFonts w:ascii="Times New Roman" w:hAnsi="Times New Roman" w:cs="Times New Roman"/>
          <w:sz w:val="24"/>
          <w:szCs w:val="24"/>
        </w:rPr>
        <w:t xml:space="preserve"> </w:t>
      </w:r>
      <w:proofErr w:type="spellStart"/>
      <w:r w:rsidR="005B5E37" w:rsidRPr="00B14ED8">
        <w:rPr>
          <w:rFonts w:ascii="Times New Roman" w:hAnsi="Times New Roman" w:cs="Times New Roman"/>
          <w:sz w:val="24"/>
          <w:szCs w:val="24"/>
        </w:rPr>
        <w:t>pengaruh</w:t>
      </w:r>
      <w:proofErr w:type="spellEnd"/>
      <w:r w:rsidR="005B5E37" w:rsidRPr="00B14ED8">
        <w:rPr>
          <w:rFonts w:ascii="Times New Roman" w:hAnsi="Times New Roman" w:cs="Times New Roman"/>
          <w:sz w:val="24"/>
          <w:szCs w:val="24"/>
        </w:rPr>
        <w:t xml:space="preserve"> paling </w:t>
      </w:r>
      <w:proofErr w:type="spellStart"/>
      <w:r w:rsidR="005B5E37" w:rsidRPr="00B14ED8">
        <w:rPr>
          <w:rFonts w:ascii="Times New Roman" w:hAnsi="Times New Roman" w:cs="Times New Roman"/>
          <w:sz w:val="24"/>
          <w:szCs w:val="24"/>
        </w:rPr>
        <w:t>kecil</w:t>
      </w:r>
      <w:proofErr w:type="spellEnd"/>
      <w:r w:rsidR="005B5E37" w:rsidRPr="00B14ED8">
        <w:rPr>
          <w:rFonts w:ascii="Times New Roman" w:hAnsi="Times New Roman" w:cs="Times New Roman"/>
          <w:sz w:val="24"/>
          <w:szCs w:val="24"/>
        </w:rPr>
        <w:t xml:space="preserve"> </w:t>
      </w:r>
      <w:proofErr w:type="spellStart"/>
      <w:r w:rsidR="005B5E37" w:rsidRPr="00B14ED8">
        <w:rPr>
          <w:rFonts w:ascii="Times New Roman" w:hAnsi="Times New Roman" w:cs="Times New Roman"/>
          <w:sz w:val="24"/>
          <w:szCs w:val="24"/>
        </w:rPr>
        <w:t>terhadap</w:t>
      </w:r>
      <w:proofErr w:type="spellEnd"/>
      <w:r w:rsidR="005B5E37" w:rsidRPr="00B14ED8">
        <w:rPr>
          <w:rFonts w:ascii="Times New Roman" w:hAnsi="Times New Roman" w:cs="Times New Roman"/>
          <w:sz w:val="24"/>
          <w:szCs w:val="24"/>
        </w:rPr>
        <w:t xml:space="preserve"> </w:t>
      </w:r>
      <w:proofErr w:type="spellStart"/>
      <w:r w:rsidR="00EB1659" w:rsidRPr="00B14ED8">
        <w:rPr>
          <w:rFonts w:ascii="Times New Roman" w:hAnsi="Times New Roman" w:cs="Times New Roman"/>
          <w:sz w:val="24"/>
          <w:szCs w:val="24"/>
        </w:rPr>
        <w:t>nilai</w:t>
      </w:r>
      <w:proofErr w:type="spellEnd"/>
      <w:r w:rsidR="00EB1659" w:rsidRPr="00B14ED8">
        <w:rPr>
          <w:rFonts w:ascii="Times New Roman" w:hAnsi="Times New Roman" w:cs="Times New Roman"/>
          <w:sz w:val="24"/>
          <w:szCs w:val="24"/>
        </w:rPr>
        <w:t xml:space="preserve"> </w:t>
      </w:r>
      <w:proofErr w:type="spellStart"/>
      <w:r w:rsidR="00EB1659" w:rsidRPr="00B14ED8">
        <w:rPr>
          <w:rFonts w:ascii="Times New Roman" w:hAnsi="Times New Roman" w:cs="Times New Roman"/>
          <w:sz w:val="24"/>
          <w:szCs w:val="24"/>
        </w:rPr>
        <w:t>kinerja</w:t>
      </w:r>
      <w:proofErr w:type="spellEnd"/>
      <w:r w:rsidR="00EB1659" w:rsidRPr="00B14ED8">
        <w:rPr>
          <w:rFonts w:ascii="Times New Roman" w:hAnsi="Times New Roman" w:cs="Times New Roman"/>
          <w:sz w:val="24"/>
          <w:szCs w:val="24"/>
        </w:rPr>
        <w:t xml:space="preserve"> </w:t>
      </w:r>
      <w:proofErr w:type="spellStart"/>
      <w:r w:rsidR="00EB1659" w:rsidRPr="00B14ED8">
        <w:rPr>
          <w:rFonts w:ascii="Times New Roman" w:hAnsi="Times New Roman" w:cs="Times New Roman"/>
          <w:sz w:val="24"/>
          <w:szCs w:val="24"/>
        </w:rPr>
        <w:t>keuangan</w:t>
      </w:r>
      <w:proofErr w:type="spellEnd"/>
      <w:r w:rsidR="00247C9A" w:rsidRPr="00B14ED8">
        <w:rPr>
          <w:rFonts w:ascii="Times New Roman" w:hAnsi="Times New Roman" w:cs="Times New Roman"/>
          <w:sz w:val="24"/>
          <w:szCs w:val="24"/>
        </w:rPr>
        <w:t>.</w:t>
      </w:r>
    </w:p>
    <w:p w14:paraId="549A32B5" w14:textId="77777777" w:rsidR="005111AC" w:rsidRPr="00B14ED8" w:rsidRDefault="005111AC">
      <w:pPr>
        <w:spacing w:after="0" w:line="360" w:lineRule="auto"/>
        <w:jc w:val="both"/>
        <w:rPr>
          <w:rFonts w:ascii="Times New Roman" w:eastAsia="Times New Roman" w:hAnsi="Times New Roman" w:cs="Times New Roman"/>
          <w:b/>
          <w:sz w:val="24"/>
          <w:szCs w:val="24"/>
        </w:rPr>
      </w:pPr>
    </w:p>
    <w:p w14:paraId="3A981C07" w14:textId="77777777" w:rsidR="005111AC" w:rsidRPr="00B14ED8" w:rsidRDefault="00D46250">
      <w:pPr>
        <w:spacing w:after="0" w:line="360" w:lineRule="auto"/>
        <w:jc w:val="both"/>
        <w:rPr>
          <w:rFonts w:ascii="Times New Roman" w:eastAsia="Times New Roman" w:hAnsi="Times New Roman" w:cs="Times New Roman"/>
          <w:b/>
          <w:sz w:val="24"/>
          <w:szCs w:val="24"/>
        </w:rPr>
      </w:pPr>
      <w:r w:rsidRPr="00B14ED8">
        <w:rPr>
          <w:rFonts w:ascii="Times New Roman" w:eastAsia="Times New Roman" w:hAnsi="Times New Roman" w:cs="Times New Roman"/>
          <w:b/>
          <w:sz w:val="24"/>
          <w:szCs w:val="24"/>
        </w:rPr>
        <w:t>DAFTAR PUSTAKA</w:t>
      </w:r>
    </w:p>
    <w:p w14:paraId="39C13E46" w14:textId="76062F62"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eastAsia="Times New Roman" w:hAnsi="Times New Roman" w:cs="Times New Roman"/>
          <w:sz w:val="24"/>
          <w:szCs w:val="24"/>
        </w:rPr>
        <w:fldChar w:fldCharType="begin" w:fldLock="1"/>
      </w:r>
      <w:r w:rsidRPr="00B14ED8">
        <w:rPr>
          <w:rFonts w:ascii="Times New Roman" w:eastAsia="Times New Roman" w:hAnsi="Times New Roman" w:cs="Times New Roman"/>
          <w:sz w:val="24"/>
          <w:szCs w:val="24"/>
        </w:rPr>
        <w:instrText xml:space="preserve">ADDIN Mendeley Bibliography CSL_BIBLIOGRAPHY </w:instrText>
      </w:r>
      <w:r w:rsidRPr="00B14ED8">
        <w:rPr>
          <w:rFonts w:ascii="Times New Roman" w:eastAsia="Times New Roman" w:hAnsi="Times New Roman" w:cs="Times New Roman"/>
          <w:sz w:val="24"/>
          <w:szCs w:val="24"/>
        </w:rPr>
        <w:fldChar w:fldCharType="separate"/>
      </w:r>
      <w:r w:rsidRPr="00B14ED8">
        <w:rPr>
          <w:rFonts w:ascii="Times New Roman" w:hAnsi="Times New Roman" w:cs="Times New Roman"/>
          <w:noProof/>
          <w:sz w:val="24"/>
          <w:szCs w:val="24"/>
        </w:rPr>
        <w:t xml:space="preserve">Abbas, F., Ali, S., Yousaf, I., &amp; Wong, W. K. (2022). Economics of Risk-Taking, Risk-Based Capital and Profitability: Empirical Evidence of Islamic Banks. </w:t>
      </w:r>
      <w:r w:rsidRPr="00B14ED8">
        <w:rPr>
          <w:rFonts w:ascii="Times New Roman" w:hAnsi="Times New Roman" w:cs="Times New Roman"/>
          <w:i/>
          <w:iCs/>
          <w:noProof/>
          <w:sz w:val="24"/>
          <w:szCs w:val="24"/>
        </w:rPr>
        <w:t>Asian Academy of Management Journal of Accounting and Finance</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18</w:t>
      </w:r>
      <w:r w:rsidRPr="00B14ED8">
        <w:rPr>
          <w:rFonts w:ascii="Times New Roman" w:hAnsi="Times New Roman" w:cs="Times New Roman"/>
          <w:noProof/>
          <w:sz w:val="24"/>
          <w:szCs w:val="24"/>
        </w:rPr>
        <w:t>(1), 1–31. https://doi.org/10.21315/aamjaf2022.18.1.1</w:t>
      </w:r>
    </w:p>
    <w:p w14:paraId="457EE4C3"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Addawami, A. N., &amp; Zamzami, R. M. (2022). Effect of Ijarah Revenue, Mudharabah Financing and Third-Party Funds on the Profitability of Islamic Commercial Banks. </w:t>
      </w:r>
      <w:r w:rsidRPr="00B14ED8">
        <w:rPr>
          <w:rFonts w:ascii="Times New Roman" w:hAnsi="Times New Roman" w:cs="Times New Roman"/>
          <w:i/>
          <w:iCs/>
          <w:noProof/>
          <w:sz w:val="24"/>
          <w:szCs w:val="24"/>
        </w:rPr>
        <w:t>Cashflow : Current Advanced Research on Sharia Finance and Economic Worldwide</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1</w:t>
      </w:r>
      <w:r w:rsidRPr="00B14ED8">
        <w:rPr>
          <w:rFonts w:ascii="Times New Roman" w:hAnsi="Times New Roman" w:cs="Times New Roman"/>
          <w:noProof/>
          <w:sz w:val="24"/>
          <w:szCs w:val="24"/>
        </w:rPr>
        <w:t xml:space="preserve">(3), 37–59. </w:t>
      </w:r>
      <w:r w:rsidRPr="00B14ED8">
        <w:rPr>
          <w:rFonts w:ascii="Times New Roman" w:hAnsi="Times New Roman" w:cs="Times New Roman"/>
          <w:noProof/>
          <w:sz w:val="24"/>
          <w:szCs w:val="24"/>
        </w:rPr>
        <w:lastRenderedPageBreak/>
        <w:t>https://doi.org/10.55047/cashflow.v1i3.194</w:t>
      </w:r>
    </w:p>
    <w:p w14:paraId="301AE4CF"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Alfiyah, M. A., Adawiyah, W. R., &amp; Widiastuti, E. (2023). Analysis of the Influence of Mudharabah Financing , Musyarakah Financing , Capital Adequacy Ratio , and Non-Performing Financing on Banking Performance with Qardhul Hasan as Control Variable ( Case Study on Islamic Commercial Banks in Indonesia in 2013-20. </w:t>
      </w:r>
      <w:r w:rsidRPr="00B14ED8">
        <w:rPr>
          <w:rFonts w:ascii="Times New Roman" w:hAnsi="Times New Roman" w:cs="Times New Roman"/>
          <w:i/>
          <w:iCs/>
          <w:noProof/>
          <w:sz w:val="24"/>
          <w:szCs w:val="24"/>
        </w:rPr>
        <w:t>Indonesian Journal of Islamic Business and Economics</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05</w:t>
      </w:r>
      <w:r w:rsidRPr="00B14ED8">
        <w:rPr>
          <w:rFonts w:ascii="Times New Roman" w:hAnsi="Times New Roman" w:cs="Times New Roman"/>
          <w:noProof/>
          <w:sz w:val="24"/>
          <w:szCs w:val="24"/>
        </w:rPr>
        <w:t>(01), 27–50.</w:t>
      </w:r>
    </w:p>
    <w:p w14:paraId="12C8961E"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Bougatef, K., Nakhli, M. S., &amp; Mnari, O. (2020). The nexus between Islamic banking and industrial production: Empirical evidence from Malaysia. </w:t>
      </w:r>
      <w:r w:rsidRPr="00B14ED8">
        <w:rPr>
          <w:rFonts w:ascii="Times New Roman" w:hAnsi="Times New Roman" w:cs="Times New Roman"/>
          <w:i/>
          <w:iCs/>
          <w:noProof/>
          <w:sz w:val="24"/>
          <w:szCs w:val="24"/>
        </w:rPr>
        <w:t>ISRA International Journal of Islamic Finance</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12</w:t>
      </w:r>
      <w:r w:rsidRPr="00B14ED8">
        <w:rPr>
          <w:rFonts w:ascii="Times New Roman" w:hAnsi="Times New Roman" w:cs="Times New Roman"/>
          <w:noProof/>
          <w:sz w:val="24"/>
          <w:szCs w:val="24"/>
        </w:rPr>
        <w:t>(1), 103–114. https://doi.org/10.1108/IJIF-05-2018-0052</w:t>
      </w:r>
    </w:p>
    <w:p w14:paraId="3433CA3A"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Chattha, J. A., Alhabshi, S. M., &amp; Meera, A. K. M. (2020). Risk management with a duration gap approach: Empirical evidence from a cross-country study of dual banking systems. </w:t>
      </w:r>
      <w:r w:rsidRPr="00B14ED8">
        <w:rPr>
          <w:rFonts w:ascii="Times New Roman" w:hAnsi="Times New Roman" w:cs="Times New Roman"/>
          <w:i/>
          <w:iCs/>
          <w:noProof/>
          <w:sz w:val="24"/>
          <w:szCs w:val="24"/>
        </w:rPr>
        <w:t>Journal of Islamic Accounting and Business Research</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11</w:t>
      </w:r>
      <w:r w:rsidRPr="00B14ED8">
        <w:rPr>
          <w:rFonts w:ascii="Times New Roman" w:hAnsi="Times New Roman" w:cs="Times New Roman"/>
          <w:noProof/>
          <w:sz w:val="24"/>
          <w:szCs w:val="24"/>
        </w:rPr>
        <w:t>(6), 1257–1300. https://doi.org/10.1108/JIABR-10-2017-0152</w:t>
      </w:r>
    </w:p>
    <w:p w14:paraId="41E1D7EE"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Dewantara, A., &amp; Bawono, A. (2020). Influence Analisys of Mudharabah, Musharakah, and Murabahah Financing To Profitability of Sharia Commercial Bank in Indonesia 2016-2019 With Non Performing Financing As Intervening Variable. </w:t>
      </w:r>
      <w:r w:rsidRPr="00B14ED8">
        <w:rPr>
          <w:rFonts w:ascii="Times New Roman" w:hAnsi="Times New Roman" w:cs="Times New Roman"/>
          <w:i/>
          <w:iCs/>
          <w:noProof/>
          <w:sz w:val="24"/>
          <w:szCs w:val="24"/>
        </w:rPr>
        <w:t>ISLAMICONOMIC: Jurnal Ekonomi Islam</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11</w:t>
      </w:r>
      <w:r w:rsidRPr="00B14ED8">
        <w:rPr>
          <w:rFonts w:ascii="Times New Roman" w:hAnsi="Times New Roman" w:cs="Times New Roman"/>
          <w:noProof/>
          <w:sz w:val="24"/>
          <w:szCs w:val="24"/>
        </w:rPr>
        <w:t>(2), 109–126. https://doi.org/10.32678/ijei.v11i2.197</w:t>
      </w:r>
    </w:p>
    <w:p w14:paraId="10259C88"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El, I. M., Masyhuri, M., &amp; Yuliana, I. (2022). The Effect of Mudharabah and Musyarakah Financing on Profitability of Islamic Banks in Indonesia. </w:t>
      </w:r>
      <w:r w:rsidRPr="00B14ED8">
        <w:rPr>
          <w:rFonts w:ascii="Times New Roman" w:hAnsi="Times New Roman" w:cs="Times New Roman"/>
          <w:i/>
          <w:iCs/>
          <w:noProof/>
          <w:sz w:val="24"/>
          <w:szCs w:val="24"/>
        </w:rPr>
        <w:t>Indonesian Interdisciplinary Journal of Sharia Economics (IIJSE)</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5</w:t>
      </w:r>
      <w:r w:rsidRPr="00B14ED8">
        <w:rPr>
          <w:rFonts w:ascii="Times New Roman" w:hAnsi="Times New Roman" w:cs="Times New Roman"/>
          <w:noProof/>
          <w:sz w:val="24"/>
          <w:szCs w:val="24"/>
        </w:rPr>
        <w:t>(1), 225–234. https://doi.org/10.31538/iijse.v5i1.1969</w:t>
      </w:r>
    </w:p>
    <w:p w14:paraId="03FF4F50"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p>
    <w:p w14:paraId="0DF2C36F"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Elamer, A. A., Ntim, C. G., &amp; Abdou, H. A. (2020). Islamic Governance, National Governance, and Bank Risk Management and Disclosure in MENA Countries. </w:t>
      </w:r>
      <w:r w:rsidRPr="00B14ED8">
        <w:rPr>
          <w:rFonts w:ascii="Times New Roman" w:hAnsi="Times New Roman" w:cs="Times New Roman"/>
          <w:i/>
          <w:iCs/>
          <w:noProof/>
          <w:sz w:val="24"/>
          <w:szCs w:val="24"/>
        </w:rPr>
        <w:t>Business and Society</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59</w:t>
      </w:r>
      <w:r w:rsidRPr="00B14ED8">
        <w:rPr>
          <w:rFonts w:ascii="Times New Roman" w:hAnsi="Times New Roman" w:cs="Times New Roman"/>
          <w:noProof/>
          <w:sz w:val="24"/>
          <w:szCs w:val="24"/>
        </w:rPr>
        <w:t>(5), 914–955. https://doi.org/10.1177/0007650317746108</w:t>
      </w:r>
    </w:p>
    <w:p w14:paraId="35402B61"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Faisal, Y., Ratnawati, N., &amp; Sari, E. G. (2021). Profit Islamic Bank from Mudharabah and Musharakah Finance with Islamic Social Responsibility Disclosure. </w:t>
      </w:r>
      <w:r w:rsidRPr="00B14ED8">
        <w:rPr>
          <w:rFonts w:ascii="Times New Roman" w:hAnsi="Times New Roman" w:cs="Times New Roman"/>
          <w:i/>
          <w:iCs/>
          <w:noProof/>
          <w:sz w:val="24"/>
          <w:szCs w:val="24"/>
        </w:rPr>
        <w:t>International Journal of Finance &amp; Banking Studies (2147-4486)</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10</w:t>
      </w:r>
      <w:r w:rsidRPr="00B14ED8">
        <w:rPr>
          <w:rFonts w:ascii="Times New Roman" w:hAnsi="Times New Roman" w:cs="Times New Roman"/>
          <w:noProof/>
          <w:sz w:val="24"/>
          <w:szCs w:val="24"/>
        </w:rPr>
        <w:t>(3), 84–91. https://doi.org/10.20525/ijfbs.v10i3.1329</w:t>
      </w:r>
    </w:p>
    <w:p w14:paraId="79CCE899" w14:textId="45E6189D"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Fajar, M., &amp; Mutamimah. (2023). Penurunan Non Performing Financing Berbasis Enterprise Risk Management. </w:t>
      </w:r>
      <w:r w:rsidRPr="00B14ED8">
        <w:rPr>
          <w:rFonts w:ascii="Times New Roman" w:hAnsi="Times New Roman" w:cs="Times New Roman"/>
          <w:i/>
          <w:iCs/>
          <w:noProof/>
          <w:sz w:val="24"/>
          <w:szCs w:val="24"/>
        </w:rPr>
        <w:t>Ekobis</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24</w:t>
      </w:r>
      <w:r w:rsidRPr="00B14ED8">
        <w:rPr>
          <w:rFonts w:ascii="Times New Roman" w:hAnsi="Times New Roman" w:cs="Times New Roman"/>
          <w:noProof/>
          <w:sz w:val="24"/>
          <w:szCs w:val="24"/>
        </w:rPr>
        <w:t>(2), 117–153.</w:t>
      </w:r>
    </w:p>
    <w:p w14:paraId="450436E9"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Fan, H., Tang, Q., &amp; Pan, L. (2021). An international study of carbon information asymmetry and independent carbon assurance. </w:t>
      </w:r>
      <w:r w:rsidRPr="00B14ED8">
        <w:rPr>
          <w:rFonts w:ascii="Times New Roman" w:hAnsi="Times New Roman" w:cs="Times New Roman"/>
          <w:i/>
          <w:iCs/>
          <w:noProof/>
          <w:sz w:val="24"/>
          <w:szCs w:val="24"/>
        </w:rPr>
        <w:t>British Accounting Review</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53</w:t>
      </w:r>
      <w:r w:rsidRPr="00B14ED8">
        <w:rPr>
          <w:rFonts w:ascii="Times New Roman" w:hAnsi="Times New Roman" w:cs="Times New Roman"/>
          <w:noProof/>
          <w:sz w:val="24"/>
          <w:szCs w:val="24"/>
        </w:rPr>
        <w:t>(1), 1–17. https://doi.org/10.1016/j.bar.2020.100971</w:t>
      </w:r>
    </w:p>
    <w:p w14:paraId="4DBB4FE7"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Fransiska, F., Rahman, A. A., &amp; Maharani, S. (2021). The Effect of Mudharabah, Musharaka, and Ijarah Financing To Return on Equity in Bank Bri Sharia Period 2016-2020. </w:t>
      </w:r>
      <w:r w:rsidRPr="00B14ED8">
        <w:rPr>
          <w:rFonts w:ascii="Times New Roman" w:hAnsi="Times New Roman" w:cs="Times New Roman"/>
          <w:i/>
          <w:iCs/>
          <w:noProof/>
          <w:sz w:val="24"/>
          <w:szCs w:val="24"/>
        </w:rPr>
        <w:t>Niqosiya: Journal of Economics and Business Research</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1</w:t>
      </w:r>
      <w:r w:rsidRPr="00B14ED8">
        <w:rPr>
          <w:rFonts w:ascii="Times New Roman" w:hAnsi="Times New Roman" w:cs="Times New Roman"/>
          <w:noProof/>
          <w:sz w:val="24"/>
          <w:szCs w:val="24"/>
        </w:rPr>
        <w:t>(2), 268–285. https://doi.org/10.21154/niqosiya.v1i2.413</w:t>
      </w:r>
    </w:p>
    <w:p w14:paraId="25F520CB"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Hakim, M. Z., Nurdiono, V. C., Aulia, T. Z., Sanatoso, S. B., Zakki, A., &amp; Hendrianto, S. </w:t>
      </w:r>
      <w:r w:rsidRPr="00B14ED8">
        <w:rPr>
          <w:rFonts w:ascii="Times New Roman" w:hAnsi="Times New Roman" w:cs="Times New Roman"/>
          <w:noProof/>
          <w:sz w:val="24"/>
          <w:szCs w:val="24"/>
        </w:rPr>
        <w:lastRenderedPageBreak/>
        <w:t xml:space="preserve">(2023). Effect of Capital Adequency Ratio , Non Performing Financing , and BOPO on Mudharabah Financing. </w:t>
      </w:r>
      <w:r w:rsidRPr="00B14ED8">
        <w:rPr>
          <w:rFonts w:ascii="Times New Roman" w:hAnsi="Times New Roman" w:cs="Times New Roman"/>
          <w:i/>
          <w:iCs/>
          <w:noProof/>
          <w:sz w:val="24"/>
          <w:szCs w:val="24"/>
        </w:rPr>
        <w:t>Internasional Journal of Economics, Business and Innovation Research</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02</w:t>
      </w:r>
      <w:r w:rsidRPr="00B14ED8">
        <w:rPr>
          <w:rFonts w:ascii="Times New Roman" w:hAnsi="Times New Roman" w:cs="Times New Roman"/>
          <w:noProof/>
          <w:sz w:val="24"/>
          <w:szCs w:val="24"/>
        </w:rPr>
        <w:t>(01), 31–47.</w:t>
      </w:r>
    </w:p>
    <w:p w14:paraId="47F7D759"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Hakimah, Y., Pratama, I., Fitri, H., Ganatri, M., &amp; Sulbahri, R. A. (2019). Impact of intrinsic corporate governance on financial performance of indonesian SMEs. </w:t>
      </w:r>
      <w:r w:rsidRPr="00B14ED8">
        <w:rPr>
          <w:rFonts w:ascii="Times New Roman" w:hAnsi="Times New Roman" w:cs="Times New Roman"/>
          <w:i/>
          <w:iCs/>
          <w:noProof/>
          <w:sz w:val="24"/>
          <w:szCs w:val="24"/>
        </w:rPr>
        <w:t>International Journal of Innovation, Creativity and Change</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7</w:t>
      </w:r>
      <w:r w:rsidRPr="00B14ED8">
        <w:rPr>
          <w:rFonts w:ascii="Times New Roman" w:hAnsi="Times New Roman" w:cs="Times New Roman"/>
          <w:noProof/>
          <w:sz w:val="24"/>
          <w:szCs w:val="24"/>
        </w:rPr>
        <w:t>(1), 32–51.</w:t>
      </w:r>
    </w:p>
    <w:p w14:paraId="0A0D55BD"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Hayati, I., &amp; Hasibuan, S. R. (2021). The Effect of Mudharabah and Musyarakah Financing on Return on Equity in Syariah Banks in Indonesia. </w:t>
      </w:r>
      <w:r w:rsidRPr="00B14ED8">
        <w:rPr>
          <w:rFonts w:ascii="Times New Roman" w:hAnsi="Times New Roman" w:cs="Times New Roman"/>
          <w:i/>
          <w:iCs/>
          <w:noProof/>
          <w:sz w:val="24"/>
          <w:szCs w:val="24"/>
        </w:rPr>
        <w:t>Proceeding International Seminar on Islamic Studies</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2</w:t>
      </w:r>
      <w:r w:rsidRPr="00B14ED8">
        <w:rPr>
          <w:rFonts w:ascii="Times New Roman" w:hAnsi="Times New Roman" w:cs="Times New Roman"/>
          <w:noProof/>
          <w:sz w:val="24"/>
          <w:szCs w:val="24"/>
        </w:rPr>
        <w:t>(1), 374–382.</w:t>
      </w:r>
    </w:p>
    <w:p w14:paraId="3C9EF66C"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Ibrahim, Z., Effendi, N., Budiono, B., &amp; Kurniawan, R. (2022). Determinants of profit and loss sharing financing in Indonesia. </w:t>
      </w:r>
      <w:r w:rsidRPr="00B14ED8">
        <w:rPr>
          <w:rFonts w:ascii="Times New Roman" w:hAnsi="Times New Roman" w:cs="Times New Roman"/>
          <w:i/>
          <w:iCs/>
          <w:noProof/>
          <w:sz w:val="24"/>
          <w:szCs w:val="24"/>
        </w:rPr>
        <w:t>Journal of Islamic Marketing</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13</w:t>
      </w:r>
      <w:r w:rsidRPr="00B14ED8">
        <w:rPr>
          <w:rFonts w:ascii="Times New Roman" w:hAnsi="Times New Roman" w:cs="Times New Roman"/>
          <w:noProof/>
          <w:sz w:val="24"/>
          <w:szCs w:val="24"/>
        </w:rPr>
        <w:t>(9), 1918–1939. https://doi.org/10.1108/JIMA-01-2020-0015</w:t>
      </w:r>
    </w:p>
    <w:p w14:paraId="39606101"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Ishak, M. S. I., &amp; Rahman, M. H. (2022). Equity-based Islamic crowdfunding in Malaysia : a potential application for mudharabah. </w:t>
      </w:r>
      <w:r w:rsidRPr="00B14ED8">
        <w:rPr>
          <w:rFonts w:ascii="Times New Roman" w:hAnsi="Times New Roman" w:cs="Times New Roman"/>
          <w:i/>
          <w:iCs/>
          <w:noProof/>
          <w:sz w:val="24"/>
          <w:szCs w:val="24"/>
        </w:rPr>
        <w:t>Qualitative Research in Financial Markets</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13</w:t>
      </w:r>
      <w:r w:rsidRPr="00B14ED8">
        <w:rPr>
          <w:rFonts w:ascii="Times New Roman" w:hAnsi="Times New Roman" w:cs="Times New Roman"/>
          <w:noProof/>
          <w:sz w:val="24"/>
          <w:szCs w:val="24"/>
        </w:rPr>
        <w:t>(2), 183–196. https://doi.org/10.1108/QRFM-03-2020-0024</w:t>
      </w:r>
    </w:p>
    <w:p w14:paraId="4176400D"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Islam, R., &amp; Ahmad, R. (2020). Muḍārabah and mushārakah as micro-equity finance: perception of Selangor’s disadvantaged women entrepreneurs. </w:t>
      </w:r>
      <w:r w:rsidRPr="00B14ED8">
        <w:rPr>
          <w:rFonts w:ascii="Times New Roman" w:hAnsi="Times New Roman" w:cs="Times New Roman"/>
          <w:i/>
          <w:iCs/>
          <w:noProof/>
          <w:sz w:val="24"/>
          <w:szCs w:val="24"/>
        </w:rPr>
        <w:t>ISRA International Journal of Islamic Finance</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12</w:t>
      </w:r>
      <w:r w:rsidRPr="00B14ED8">
        <w:rPr>
          <w:rFonts w:ascii="Times New Roman" w:hAnsi="Times New Roman" w:cs="Times New Roman"/>
          <w:noProof/>
          <w:sz w:val="24"/>
          <w:szCs w:val="24"/>
        </w:rPr>
        <w:t>(2), 217–237. https://doi.org/10.1108/IJIF-04-2018-0041</w:t>
      </w:r>
    </w:p>
    <w:p w14:paraId="708400A5" w14:textId="0C55F1AA"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Iswajuni, Soetedjo, S., &amp; Manasikana, A. (2018). Pengaruh Enterprise Risk Management ( Erm ) Terhadap Nilai Perusahaan Pada Perusahaan. </w:t>
      </w:r>
      <w:r w:rsidRPr="00B14ED8">
        <w:rPr>
          <w:rFonts w:ascii="Times New Roman" w:hAnsi="Times New Roman" w:cs="Times New Roman"/>
          <w:i/>
          <w:iCs/>
          <w:noProof/>
          <w:sz w:val="24"/>
          <w:szCs w:val="24"/>
        </w:rPr>
        <w:t>Journal Of Applied Managerial Accounting</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2</w:t>
      </w:r>
      <w:r w:rsidRPr="00B14ED8">
        <w:rPr>
          <w:rFonts w:ascii="Times New Roman" w:hAnsi="Times New Roman" w:cs="Times New Roman"/>
          <w:noProof/>
          <w:sz w:val="24"/>
          <w:szCs w:val="24"/>
        </w:rPr>
        <w:t>(2), 275–281.</w:t>
      </w:r>
    </w:p>
    <w:p w14:paraId="1319B68D"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Jais, M., Sofyan, F., &amp; Bacha, A. M. (2019). Mudarabah and Musharakah as an Equity Financing Model : Issues in Practice. </w:t>
      </w:r>
      <w:r w:rsidRPr="00B14ED8">
        <w:rPr>
          <w:rFonts w:ascii="Times New Roman" w:hAnsi="Times New Roman" w:cs="Times New Roman"/>
          <w:i/>
          <w:iCs/>
          <w:noProof/>
          <w:sz w:val="24"/>
          <w:szCs w:val="24"/>
        </w:rPr>
        <w:t>Proceedings of the 2nd Aceh Global Conference on Business Economic and Sustainable Development Trends</w:t>
      </w:r>
      <w:r w:rsidRPr="00B14ED8">
        <w:rPr>
          <w:rFonts w:ascii="Times New Roman" w:hAnsi="Times New Roman" w:cs="Times New Roman"/>
          <w:noProof/>
          <w:sz w:val="24"/>
          <w:szCs w:val="24"/>
        </w:rPr>
        <w:t>, 107–114.</w:t>
      </w:r>
    </w:p>
    <w:p w14:paraId="5C7CF565"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Jedidia, K. Ben. (2020). Profit- and loss-sharing impact on Islamic bank liquidity in GCC countries. </w:t>
      </w:r>
      <w:r w:rsidRPr="00B14ED8">
        <w:rPr>
          <w:rFonts w:ascii="Times New Roman" w:hAnsi="Times New Roman" w:cs="Times New Roman"/>
          <w:i/>
          <w:iCs/>
          <w:noProof/>
          <w:sz w:val="24"/>
          <w:szCs w:val="24"/>
        </w:rPr>
        <w:t>Journal of Islamic Accounting and Business Research</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11</w:t>
      </w:r>
      <w:r w:rsidRPr="00B14ED8">
        <w:rPr>
          <w:rFonts w:ascii="Times New Roman" w:hAnsi="Times New Roman" w:cs="Times New Roman"/>
          <w:noProof/>
          <w:sz w:val="24"/>
          <w:szCs w:val="24"/>
        </w:rPr>
        <w:t>(9), 1791–1806. https://doi.org/10.1108/JIABR-10-2018-0157</w:t>
      </w:r>
    </w:p>
    <w:p w14:paraId="309F642F"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p>
    <w:p w14:paraId="40DF0A0B"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Kuraeni, A., &amp; Isnaeni, F. (2022). Impact of Operational Costs of Operational Income (Bopo), Capital Capability Ratio and Musyarakah Financing on the Profitability of Sharia Commercial Banks 2016-2021. </w:t>
      </w:r>
      <w:r w:rsidRPr="00B14ED8">
        <w:rPr>
          <w:rFonts w:ascii="Times New Roman" w:hAnsi="Times New Roman" w:cs="Times New Roman"/>
          <w:i/>
          <w:iCs/>
          <w:noProof/>
          <w:sz w:val="24"/>
          <w:szCs w:val="24"/>
        </w:rPr>
        <w:t>Cashflow : Current Advanced Research on Sharia Finance and Economic Worldwide</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1</w:t>
      </w:r>
      <w:r w:rsidRPr="00B14ED8">
        <w:rPr>
          <w:rFonts w:ascii="Times New Roman" w:hAnsi="Times New Roman" w:cs="Times New Roman"/>
          <w:noProof/>
          <w:sz w:val="24"/>
          <w:szCs w:val="24"/>
        </w:rPr>
        <w:t>(4), 169–182. https://doi.org/10.55047/cashflow.v1i4.307</w:t>
      </w:r>
    </w:p>
    <w:p w14:paraId="4791267B"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Ledhem, M. A., &amp; Mekidiche, M. (2020). Economic growth and financial performance of Islamic banks: a CAMELS approach. </w:t>
      </w:r>
      <w:r w:rsidRPr="00B14ED8">
        <w:rPr>
          <w:rFonts w:ascii="Times New Roman" w:hAnsi="Times New Roman" w:cs="Times New Roman"/>
          <w:i/>
          <w:iCs/>
          <w:noProof/>
          <w:sz w:val="24"/>
          <w:szCs w:val="24"/>
        </w:rPr>
        <w:t>Islamic Economic Studies</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28</w:t>
      </w:r>
      <w:r w:rsidRPr="00B14ED8">
        <w:rPr>
          <w:rFonts w:ascii="Times New Roman" w:hAnsi="Times New Roman" w:cs="Times New Roman"/>
          <w:noProof/>
          <w:sz w:val="24"/>
          <w:szCs w:val="24"/>
        </w:rPr>
        <w:t>(1), 47–62. https://doi.org/10.1108/ies-05-2020-0016</w:t>
      </w:r>
    </w:p>
    <w:p w14:paraId="267E1866"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Nugraheni, P., &amp; Alimin, I. N. (2022). Factors influencing PLS financing: the perspective of Indonesian Islamic banks employees. </w:t>
      </w:r>
      <w:r w:rsidRPr="00B14ED8">
        <w:rPr>
          <w:rFonts w:ascii="Times New Roman" w:hAnsi="Times New Roman" w:cs="Times New Roman"/>
          <w:i/>
          <w:iCs/>
          <w:noProof/>
          <w:sz w:val="24"/>
          <w:szCs w:val="24"/>
        </w:rPr>
        <w:t>PSU Research Review</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6</w:t>
      </w:r>
      <w:r w:rsidRPr="00B14ED8">
        <w:rPr>
          <w:rFonts w:ascii="Times New Roman" w:hAnsi="Times New Roman" w:cs="Times New Roman"/>
          <w:noProof/>
          <w:sz w:val="24"/>
          <w:szCs w:val="24"/>
        </w:rPr>
        <w:t>(2), 77–89. https://doi.org/10.1108/PRR-07-2020-0022</w:t>
      </w:r>
    </w:p>
    <w:p w14:paraId="4E7AC11E"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lastRenderedPageBreak/>
        <w:t xml:space="preserve">Sugiyono. (2016). Metode Penelitian Kuantitatif Kualitatif dan R&amp;D. In </w:t>
      </w:r>
      <w:r w:rsidRPr="00B14ED8">
        <w:rPr>
          <w:rFonts w:ascii="Times New Roman" w:hAnsi="Times New Roman" w:cs="Times New Roman"/>
          <w:i/>
          <w:iCs/>
          <w:noProof/>
          <w:sz w:val="24"/>
          <w:szCs w:val="24"/>
        </w:rPr>
        <w:t>Metode Penelitian Kuantitatif Kualitatif dan R&amp;D</w:t>
      </w:r>
      <w:r w:rsidRPr="00B14ED8">
        <w:rPr>
          <w:rFonts w:ascii="Times New Roman" w:hAnsi="Times New Roman" w:cs="Times New Roman"/>
          <w:noProof/>
          <w:sz w:val="24"/>
          <w:szCs w:val="24"/>
        </w:rPr>
        <w:t>. https://doi.org/10.1017/CBO9781107415324.004</w:t>
      </w:r>
    </w:p>
    <w:p w14:paraId="564F815A"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Syahputra, R. (2021). The Effect of Mudharabah and Musyarakah Financing Risks on The Profitability of Sharia Commercial Banks in Indonesia. </w:t>
      </w:r>
      <w:r w:rsidRPr="00B14ED8">
        <w:rPr>
          <w:rFonts w:ascii="Times New Roman" w:hAnsi="Times New Roman" w:cs="Times New Roman"/>
          <w:i/>
          <w:iCs/>
          <w:noProof/>
          <w:sz w:val="24"/>
          <w:szCs w:val="24"/>
        </w:rPr>
        <w:t>IJAFIBS</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8</w:t>
      </w:r>
      <w:r w:rsidRPr="00B14ED8">
        <w:rPr>
          <w:rFonts w:ascii="Times New Roman" w:hAnsi="Times New Roman" w:cs="Times New Roman"/>
          <w:noProof/>
          <w:sz w:val="24"/>
          <w:szCs w:val="24"/>
        </w:rPr>
        <w:t>(4), 142–147. www.ijafibs.pelnus.ac.id</w:t>
      </w:r>
    </w:p>
    <w:p w14:paraId="43223149"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Syahri, N. A., &amp; Harjito, D. A. (2020). The effect of financing using the principle of profit-loss sharing on profitability level of commercial Islamic bank registered in Bank Indonesia. </w:t>
      </w:r>
      <w:r w:rsidRPr="00B14ED8">
        <w:rPr>
          <w:rFonts w:ascii="Times New Roman" w:hAnsi="Times New Roman" w:cs="Times New Roman"/>
          <w:i/>
          <w:iCs/>
          <w:noProof/>
          <w:sz w:val="24"/>
          <w:szCs w:val="24"/>
        </w:rPr>
        <w:t>Asian Journal of Islamic Management (AJIM)</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2</w:t>
      </w:r>
      <w:r w:rsidRPr="00B14ED8">
        <w:rPr>
          <w:rFonts w:ascii="Times New Roman" w:hAnsi="Times New Roman" w:cs="Times New Roman"/>
          <w:noProof/>
          <w:sz w:val="24"/>
          <w:szCs w:val="24"/>
        </w:rPr>
        <w:t>(1), 46–58. https://doi.org/10.20885/ajim.vol2.iss1.art5</w:t>
      </w:r>
    </w:p>
    <w:p w14:paraId="11C9A453" w14:textId="77777777" w:rsidR="00E211CC" w:rsidRPr="00B14ED8" w:rsidRDefault="00E211CC" w:rsidP="00E211CC">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B14ED8">
        <w:rPr>
          <w:rFonts w:ascii="Times New Roman" w:hAnsi="Times New Roman" w:cs="Times New Roman"/>
          <w:noProof/>
          <w:sz w:val="24"/>
          <w:szCs w:val="24"/>
        </w:rPr>
        <w:t xml:space="preserve">Zarzycka, E., &amp; Krasodomska, J. (2022). Non-financial key performance indicators: what determines the differences in the quality and quantity of the disclosures? </w:t>
      </w:r>
      <w:r w:rsidRPr="00B14ED8">
        <w:rPr>
          <w:rFonts w:ascii="Times New Roman" w:hAnsi="Times New Roman" w:cs="Times New Roman"/>
          <w:i/>
          <w:iCs/>
          <w:noProof/>
          <w:sz w:val="24"/>
          <w:szCs w:val="24"/>
        </w:rPr>
        <w:t>Journal of Applied Accounting Research</w:t>
      </w:r>
      <w:r w:rsidRPr="00B14ED8">
        <w:rPr>
          <w:rFonts w:ascii="Times New Roman" w:hAnsi="Times New Roman" w:cs="Times New Roman"/>
          <w:noProof/>
          <w:sz w:val="24"/>
          <w:szCs w:val="24"/>
        </w:rPr>
        <w:t xml:space="preserve">, </w:t>
      </w:r>
      <w:r w:rsidRPr="00B14ED8">
        <w:rPr>
          <w:rFonts w:ascii="Times New Roman" w:hAnsi="Times New Roman" w:cs="Times New Roman"/>
          <w:i/>
          <w:iCs/>
          <w:noProof/>
          <w:sz w:val="24"/>
          <w:szCs w:val="24"/>
        </w:rPr>
        <w:t>23</w:t>
      </w:r>
      <w:r w:rsidRPr="00B14ED8">
        <w:rPr>
          <w:rFonts w:ascii="Times New Roman" w:hAnsi="Times New Roman" w:cs="Times New Roman"/>
          <w:noProof/>
          <w:sz w:val="24"/>
          <w:szCs w:val="24"/>
        </w:rPr>
        <w:t>(1), 139–162. https://doi.org/10.1108/JAAR-02-2021-0036</w:t>
      </w:r>
    </w:p>
    <w:p w14:paraId="63C35CC7" w14:textId="78C3439F" w:rsidR="005111AC" w:rsidRPr="00B14ED8" w:rsidRDefault="00E211CC" w:rsidP="00E211CC">
      <w:pPr>
        <w:spacing w:line="240" w:lineRule="auto"/>
        <w:ind w:left="567" w:hanging="567"/>
        <w:jc w:val="both"/>
        <w:rPr>
          <w:rFonts w:ascii="Times New Roman" w:eastAsia="Times New Roman" w:hAnsi="Times New Roman" w:cs="Times New Roman"/>
          <w:sz w:val="24"/>
          <w:szCs w:val="24"/>
        </w:rPr>
      </w:pPr>
      <w:r w:rsidRPr="00B14ED8">
        <w:rPr>
          <w:rFonts w:ascii="Times New Roman" w:eastAsia="Times New Roman" w:hAnsi="Times New Roman" w:cs="Times New Roman"/>
          <w:sz w:val="24"/>
          <w:szCs w:val="24"/>
        </w:rPr>
        <w:fldChar w:fldCharType="end"/>
      </w:r>
    </w:p>
    <w:p w14:paraId="58CB1788" w14:textId="77777777" w:rsidR="005111AC" w:rsidRPr="00B14ED8" w:rsidRDefault="005111AC">
      <w:pPr>
        <w:spacing w:after="0" w:line="240" w:lineRule="auto"/>
        <w:ind w:left="567" w:hanging="567"/>
        <w:rPr>
          <w:rFonts w:ascii="Times New Roman" w:eastAsia="Times New Roman" w:hAnsi="Times New Roman" w:cs="Times New Roman"/>
          <w:sz w:val="24"/>
          <w:szCs w:val="24"/>
        </w:rPr>
      </w:pPr>
    </w:p>
    <w:p w14:paraId="0252A310" w14:textId="77777777" w:rsidR="005111AC" w:rsidRPr="00B14ED8" w:rsidRDefault="005111AC">
      <w:pPr>
        <w:spacing w:after="0" w:line="240" w:lineRule="auto"/>
        <w:ind w:left="567" w:hanging="567"/>
        <w:rPr>
          <w:rFonts w:ascii="Times New Roman" w:eastAsia="Times New Roman" w:hAnsi="Times New Roman" w:cs="Times New Roman"/>
          <w:sz w:val="24"/>
          <w:szCs w:val="24"/>
        </w:rPr>
      </w:pPr>
    </w:p>
    <w:p w14:paraId="37464A72" w14:textId="77777777" w:rsidR="005111AC" w:rsidRPr="00B14ED8" w:rsidRDefault="005111AC">
      <w:pPr>
        <w:spacing w:after="0" w:line="360" w:lineRule="auto"/>
        <w:rPr>
          <w:rFonts w:ascii="Times New Roman" w:eastAsia="Times New Roman" w:hAnsi="Times New Roman" w:cs="Times New Roman"/>
          <w:sz w:val="24"/>
          <w:szCs w:val="24"/>
        </w:rPr>
      </w:pPr>
    </w:p>
    <w:sectPr w:rsidR="005111AC" w:rsidRPr="00B14ED8">
      <w:headerReference w:type="default" r:id="rId17"/>
      <w:footerReference w:type="default" r:id="rId18"/>
      <w:pgSz w:w="11907" w:h="16840"/>
      <w:pgMar w:top="1440" w:right="1440" w:bottom="1440" w:left="1440" w:header="705"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075D5" w14:textId="77777777" w:rsidR="00196BF8" w:rsidRDefault="00196BF8">
      <w:pPr>
        <w:spacing w:after="0" w:line="240" w:lineRule="auto"/>
      </w:pPr>
      <w:r>
        <w:separator/>
      </w:r>
    </w:p>
  </w:endnote>
  <w:endnote w:type="continuationSeparator" w:id="0">
    <w:p w14:paraId="0D94CE70" w14:textId="77777777" w:rsidR="00196BF8" w:rsidRDefault="00196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dvOT8cb2ddbd">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wentieth Century">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D2E11" w14:textId="77777777" w:rsidR="005111AC" w:rsidRDefault="00D46250">
    <w:pPr>
      <w:pBdr>
        <w:top w:val="nil"/>
        <w:left w:val="nil"/>
        <w:bottom w:val="nil"/>
        <w:right w:val="nil"/>
        <w:between w:val="nil"/>
      </w:pBdr>
      <w:tabs>
        <w:tab w:val="center" w:pos="4680"/>
        <w:tab w:val="right" w:pos="9360"/>
        <w:tab w:val="left" w:pos="1575"/>
      </w:tabs>
      <w:spacing w:after="0" w:line="240" w:lineRule="auto"/>
      <w:rPr>
        <w:rFonts w:ascii="Times New Roman" w:eastAsia="Times New Roman" w:hAnsi="Times New Roman" w:cs="Times New Roman"/>
        <w:color w:val="000000"/>
        <w:sz w:val="24"/>
        <w:szCs w:val="24"/>
      </w:rPr>
    </w:pPr>
    <w:r>
      <w:rPr>
        <w:color w:val="000000"/>
      </w:rPr>
      <w:tab/>
    </w:r>
    <w:r>
      <w:rPr>
        <w:color w:val="000000"/>
      </w:rPr>
      <w:tab/>
    </w:r>
    <w:r>
      <w:rPr>
        <w:noProof/>
      </w:rPr>
      <mc:AlternateContent>
        <mc:Choice Requires="wps">
          <w:drawing>
            <wp:anchor distT="0" distB="0" distL="114300" distR="114300" simplePos="0" relativeHeight="251658240" behindDoc="0" locked="0" layoutInCell="1" hidden="0" allowOverlap="1" wp14:anchorId="2159ECF5" wp14:editId="11E4273B">
              <wp:simplePos x="0" y="0"/>
              <wp:positionH relativeFrom="column">
                <wp:posOffset>38101</wp:posOffset>
              </wp:positionH>
              <wp:positionV relativeFrom="paragraph">
                <wp:posOffset>-101599</wp:posOffset>
              </wp:positionV>
              <wp:extent cx="5860415" cy="46990"/>
              <wp:effectExtent l="0" t="0" r="0" b="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2430080" y="3770793"/>
                        <a:ext cx="5831840" cy="18415"/>
                      </a:xfrm>
                      <a:prstGeom prst="rect">
                        <a:avLst/>
                      </a:prstGeom>
                      <a:solidFill>
                        <a:srgbClr val="404040"/>
                      </a:solidFill>
                      <a:ln>
                        <a:noFill/>
                      </a:ln>
                    </wps:spPr>
                    <wps:txbx>
                      <w:txbxContent>
                        <w:p w14:paraId="78C1CD0F" w14:textId="77777777" w:rsidR="005111AC" w:rsidRDefault="005111A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w:pict>
            <v:rect w14:anchorId="2159ECF5" id="Rectangle 7" o:spid="_x0000_s1030" style="position:absolute;margin-left:3pt;margin-top:-8pt;width:461.45pt;height:3.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" fillcolor="#404040" stroked="f">
              <v:textbox inset="2.53958mm,2.53958mm,2.53958mm,2.53958mm">
                <w:txbxContent>
                  <w:p w14:paraId="78C1CD0F" w14:textId="77777777" w:rsidR="005111AC" w:rsidRDefault="005111AC">
                    <w:pPr>
                      <w:spacing w:after="0" w:line="240" w:lineRule="auto"/>
                      <w:textDirection w:val="btLr"/>
                    </w:pPr>
                  </w:p>
                </w:txbxContent>
              </v:textbox>
              <w10:wrap type="square"/>
            </v:rect>
          </w:pict>
        </mc:Fallback>
      </mc:AlternateContent>
    </w:r>
  </w:p>
  <w:p w14:paraId="1A48ADD5" w14:textId="77777777" w:rsidR="005111AC" w:rsidRDefault="00D46250">
    <w:pPr>
      <w:pBdr>
        <w:top w:val="nil"/>
        <w:left w:val="nil"/>
        <w:bottom w:val="nil"/>
        <w:right w:val="nil"/>
        <w:between w:val="nil"/>
      </w:pBdr>
      <w:tabs>
        <w:tab w:val="center" w:pos="4680"/>
        <w:tab w:val="right" w:pos="9360"/>
      </w:tabs>
      <w:spacing w:after="0" w:line="240" w:lineRule="auto"/>
      <w:jc w:val="right"/>
    </w:pPr>
    <w:r>
      <w:fldChar w:fldCharType="begin"/>
    </w:r>
    <w:r>
      <w:instrText>PAGE</w:instrText>
    </w:r>
    <w:r>
      <w:fldChar w:fldCharType="separate"/>
    </w:r>
    <w:r w:rsidR="0055468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2D254" w14:textId="77777777" w:rsidR="00196BF8" w:rsidRDefault="00196BF8">
      <w:pPr>
        <w:spacing w:after="0" w:line="240" w:lineRule="auto"/>
      </w:pPr>
      <w:r>
        <w:separator/>
      </w:r>
    </w:p>
  </w:footnote>
  <w:footnote w:type="continuationSeparator" w:id="0">
    <w:p w14:paraId="470E5EE6" w14:textId="77777777" w:rsidR="00196BF8" w:rsidRDefault="00196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A6531" w14:textId="77777777" w:rsidR="005111AC" w:rsidRDefault="005111AC">
    <w:pPr>
      <w:widowControl w:val="0"/>
      <w:spacing w:after="0" w:line="276" w:lineRule="auto"/>
      <w:rPr>
        <w:rFonts w:ascii="Times New Roman" w:eastAsia="Times New Roman" w:hAnsi="Times New Roman" w:cs="Times New Roman"/>
        <w:sz w:val="24"/>
        <w:szCs w:val="24"/>
      </w:rPr>
    </w:pPr>
  </w:p>
  <w:tbl>
    <w:tblPr>
      <w:tblStyle w:val="a7"/>
      <w:tblpPr w:leftFromText="180" w:rightFromText="180" w:topFromText="180" w:bottomFromText="180" w:vertAnchor="text" w:tblpX="-90"/>
      <w:tblW w:w="9356" w:type="dxa"/>
      <w:tblBorders>
        <w:top w:val="single" w:sz="18"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735"/>
    </w:tblGrid>
    <w:tr w:rsidR="005111AC" w14:paraId="3CE38801" w14:textId="77777777">
      <w:trPr>
        <w:trHeight w:val="565"/>
      </w:trPr>
      <w:tc>
        <w:tcPr>
          <w:tcW w:w="4621" w:type="dxa"/>
          <w:tcBorders>
            <w:top w:val="single" w:sz="18" w:space="0" w:color="000000"/>
            <w:left w:val="single" w:sz="4" w:space="0" w:color="000000"/>
            <w:bottom w:val="single" w:sz="18" w:space="0" w:color="000000"/>
            <w:right w:val="single" w:sz="4" w:space="0" w:color="000000"/>
          </w:tcBorders>
          <w:tcMar>
            <w:top w:w="0" w:type="dxa"/>
            <w:left w:w="115" w:type="dxa"/>
            <w:bottom w:w="0" w:type="dxa"/>
            <w:right w:w="115" w:type="dxa"/>
          </w:tcMar>
        </w:tcPr>
        <w:p w14:paraId="5C740E4F" w14:textId="6530F045" w:rsidR="005111AC" w:rsidRDefault="005111AC">
          <w:pPr>
            <w:tabs>
              <w:tab w:val="left" w:pos="284"/>
              <w:tab w:val="right" w:pos="9026"/>
            </w:tabs>
            <w:rPr>
              <w:rFonts w:ascii="Twentieth Century" w:eastAsia="Twentieth Century" w:hAnsi="Twentieth Century" w:cs="Twentieth Century"/>
              <w:sz w:val="20"/>
              <w:szCs w:val="20"/>
            </w:rPr>
          </w:pPr>
          <w:bookmarkStart w:id="1" w:name="_heading=h.gjdgxs" w:colFirst="0" w:colLast="0"/>
          <w:bookmarkEnd w:id="1"/>
        </w:p>
      </w:tc>
      <w:tc>
        <w:tcPr>
          <w:tcW w:w="4735" w:type="dxa"/>
          <w:tcBorders>
            <w:top w:val="single" w:sz="18" w:space="0" w:color="000000"/>
            <w:left w:val="single" w:sz="4" w:space="0" w:color="000000"/>
            <w:bottom w:val="single" w:sz="18" w:space="0" w:color="000000"/>
            <w:right w:val="single" w:sz="4" w:space="0" w:color="000000"/>
          </w:tcBorders>
          <w:tcMar>
            <w:top w:w="0" w:type="dxa"/>
            <w:left w:w="115" w:type="dxa"/>
            <w:bottom w:w="0" w:type="dxa"/>
            <w:right w:w="115" w:type="dxa"/>
          </w:tcMar>
        </w:tcPr>
        <w:p w14:paraId="6B55C350" w14:textId="77777777" w:rsidR="005111AC" w:rsidRDefault="00D46250">
          <w:pPr>
            <w:tabs>
              <w:tab w:val="left" w:pos="284"/>
              <w:tab w:val="right" w:pos="9026"/>
            </w:tabs>
            <w:jc w:val="right"/>
            <w:rPr>
              <w:rFonts w:ascii="Twentieth Century" w:eastAsia="Twentieth Century" w:hAnsi="Twentieth Century" w:cs="Twentieth Century"/>
              <w:b/>
              <w:i/>
              <w:sz w:val="20"/>
              <w:szCs w:val="20"/>
            </w:rPr>
          </w:pPr>
          <w:proofErr w:type="spellStart"/>
          <w:r>
            <w:rPr>
              <w:rFonts w:ascii="Twentieth Century" w:eastAsia="Twentieth Century" w:hAnsi="Twentieth Century" w:cs="Twentieth Century"/>
              <w:b/>
              <w:i/>
              <w:sz w:val="20"/>
              <w:szCs w:val="20"/>
            </w:rPr>
            <w:t>Jurnal</w:t>
          </w:r>
          <w:proofErr w:type="spellEnd"/>
          <w:r>
            <w:rPr>
              <w:rFonts w:ascii="Twentieth Century" w:eastAsia="Twentieth Century" w:hAnsi="Twentieth Century" w:cs="Twentieth Century"/>
              <w:b/>
              <w:i/>
              <w:sz w:val="20"/>
              <w:szCs w:val="20"/>
            </w:rPr>
            <w:t xml:space="preserve"> </w:t>
          </w:r>
          <w:proofErr w:type="spellStart"/>
          <w:r>
            <w:rPr>
              <w:rFonts w:ascii="Twentieth Century" w:eastAsia="Twentieth Century" w:hAnsi="Twentieth Century" w:cs="Twentieth Century"/>
              <w:b/>
              <w:i/>
              <w:sz w:val="20"/>
              <w:szCs w:val="20"/>
            </w:rPr>
            <w:t>Studi</w:t>
          </w:r>
          <w:proofErr w:type="spellEnd"/>
          <w:r>
            <w:rPr>
              <w:rFonts w:ascii="Twentieth Century" w:eastAsia="Twentieth Century" w:hAnsi="Twentieth Century" w:cs="Twentieth Century"/>
              <w:b/>
              <w:i/>
              <w:sz w:val="20"/>
              <w:szCs w:val="20"/>
            </w:rPr>
            <w:t xml:space="preserve"> </w:t>
          </w:r>
          <w:proofErr w:type="spellStart"/>
          <w:r>
            <w:rPr>
              <w:rFonts w:ascii="Twentieth Century" w:eastAsia="Twentieth Century" w:hAnsi="Twentieth Century" w:cs="Twentieth Century"/>
              <w:b/>
              <w:i/>
              <w:sz w:val="20"/>
              <w:szCs w:val="20"/>
            </w:rPr>
            <w:t>Manajemen</w:t>
          </w:r>
          <w:proofErr w:type="spellEnd"/>
          <w:r>
            <w:rPr>
              <w:rFonts w:ascii="Twentieth Century" w:eastAsia="Twentieth Century" w:hAnsi="Twentieth Century" w:cs="Twentieth Century"/>
              <w:b/>
              <w:i/>
              <w:sz w:val="20"/>
              <w:szCs w:val="20"/>
            </w:rPr>
            <w:t xml:space="preserve"> </w:t>
          </w:r>
          <w:proofErr w:type="spellStart"/>
          <w:r>
            <w:rPr>
              <w:rFonts w:ascii="Twentieth Century" w:eastAsia="Twentieth Century" w:hAnsi="Twentieth Century" w:cs="Twentieth Century"/>
              <w:b/>
              <w:i/>
              <w:sz w:val="20"/>
              <w:szCs w:val="20"/>
            </w:rPr>
            <w:t>Bisnis</w:t>
          </w:r>
          <w:proofErr w:type="spellEnd"/>
          <w:r>
            <w:rPr>
              <w:rFonts w:ascii="Twentieth Century" w:eastAsia="Twentieth Century" w:hAnsi="Twentieth Century" w:cs="Twentieth Century"/>
              <w:b/>
              <w:i/>
              <w:sz w:val="20"/>
              <w:szCs w:val="20"/>
            </w:rPr>
            <w:t xml:space="preserve"> (JSMB)</w:t>
          </w:r>
        </w:p>
        <w:p w14:paraId="5432D35D" w14:textId="2ECBDC17" w:rsidR="004E1B13" w:rsidRDefault="00D46250" w:rsidP="004E1B13">
          <w:pPr>
            <w:tabs>
              <w:tab w:val="left" w:pos="1956"/>
              <w:tab w:val="right" w:pos="4519"/>
              <w:tab w:val="right" w:pos="9026"/>
            </w:tabs>
            <w:ind w:left="426"/>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ab/>
          </w:r>
          <w:r>
            <w:rPr>
              <w:rFonts w:ascii="Twentieth Century" w:eastAsia="Twentieth Century" w:hAnsi="Twentieth Century" w:cs="Twentieth Century"/>
              <w:sz w:val="20"/>
              <w:szCs w:val="20"/>
            </w:rPr>
            <w:tab/>
            <w:t xml:space="preserve">Vol. </w:t>
          </w:r>
          <w:r w:rsidR="004E1B13">
            <w:rPr>
              <w:rFonts w:ascii="Twentieth Century" w:eastAsia="Twentieth Century" w:hAnsi="Twentieth Century" w:cs="Twentieth Century"/>
              <w:sz w:val="20"/>
              <w:szCs w:val="20"/>
            </w:rPr>
            <w:t>3</w:t>
          </w:r>
          <w:r>
            <w:rPr>
              <w:rFonts w:ascii="Twentieth Century" w:eastAsia="Twentieth Century" w:hAnsi="Twentieth Century" w:cs="Twentieth Century"/>
              <w:sz w:val="20"/>
              <w:szCs w:val="20"/>
            </w:rPr>
            <w:t xml:space="preserve">  </w:t>
          </w:r>
          <w:r w:rsidR="00AF6DB3">
            <w:rPr>
              <w:rFonts w:ascii="Twentieth Century" w:eastAsia="Twentieth Century" w:hAnsi="Twentieth Century" w:cs="Twentieth Century"/>
              <w:sz w:val="20"/>
              <w:szCs w:val="20"/>
            </w:rPr>
            <w:t xml:space="preserve"> </w:t>
          </w:r>
          <w:r>
            <w:rPr>
              <w:rFonts w:ascii="Twentieth Century" w:eastAsia="Twentieth Century" w:hAnsi="Twentieth Century" w:cs="Twentieth Century"/>
              <w:sz w:val="20"/>
              <w:szCs w:val="20"/>
            </w:rPr>
            <w:t xml:space="preserve">No. </w:t>
          </w:r>
          <w:r w:rsidR="004E1B13">
            <w:rPr>
              <w:rFonts w:ascii="Twentieth Century" w:eastAsia="Twentieth Century" w:hAnsi="Twentieth Century" w:cs="Twentieth Century"/>
              <w:sz w:val="20"/>
              <w:szCs w:val="20"/>
            </w:rPr>
            <w:t>2</w:t>
          </w:r>
          <w:r>
            <w:rPr>
              <w:rFonts w:ascii="Twentieth Century" w:eastAsia="Twentieth Century" w:hAnsi="Twentieth Century" w:cs="Twentieth Century"/>
              <w:sz w:val="20"/>
              <w:szCs w:val="20"/>
            </w:rPr>
            <w:t xml:space="preserve"> </w:t>
          </w:r>
          <w:proofErr w:type="spellStart"/>
          <w:r w:rsidR="004E1B13">
            <w:rPr>
              <w:rFonts w:ascii="Twentieth Century" w:eastAsia="Twentieth Century" w:hAnsi="Twentieth Century" w:cs="Twentieth Century"/>
              <w:sz w:val="20"/>
              <w:szCs w:val="20"/>
            </w:rPr>
            <w:t>Juli</w:t>
          </w:r>
          <w:proofErr w:type="spellEnd"/>
          <w:r>
            <w:rPr>
              <w:rFonts w:ascii="Twentieth Century" w:eastAsia="Twentieth Century" w:hAnsi="Twentieth Century" w:cs="Twentieth Century"/>
              <w:sz w:val="20"/>
              <w:szCs w:val="20"/>
            </w:rPr>
            <w:t xml:space="preserve"> 20</w:t>
          </w:r>
          <w:r w:rsidR="004E1B13">
            <w:rPr>
              <w:rFonts w:ascii="Twentieth Century" w:eastAsia="Twentieth Century" w:hAnsi="Twentieth Century" w:cs="Twentieth Century"/>
              <w:sz w:val="20"/>
              <w:szCs w:val="20"/>
            </w:rPr>
            <w:t>23</w:t>
          </w:r>
        </w:p>
      </w:tc>
    </w:tr>
  </w:tbl>
  <w:p w14:paraId="7FE55372" w14:textId="77777777" w:rsidR="005111AC" w:rsidRDefault="005111AC">
    <w:pPr>
      <w:tabs>
        <w:tab w:val="center" w:pos="4680"/>
        <w:tab w:val="right" w:pos="9360"/>
      </w:tabs>
      <w:spacing w:after="0" w:line="240" w:lineRule="auto"/>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63AE4"/>
    <w:multiLevelType w:val="hybridMultilevel"/>
    <w:tmpl w:val="8228D7BC"/>
    <w:lvl w:ilvl="0" w:tplc="BE22D822">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AE641E"/>
    <w:multiLevelType w:val="multilevel"/>
    <w:tmpl w:val="202CB6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AB4D4B"/>
    <w:multiLevelType w:val="hybridMultilevel"/>
    <w:tmpl w:val="4A227A90"/>
    <w:lvl w:ilvl="0" w:tplc="4CEED150">
      <w:start w:val="1"/>
      <w:numFmt w:val="decimal"/>
      <w:lvlText w:val="%1."/>
      <w:lvlJc w:val="righ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514A0"/>
    <w:multiLevelType w:val="multilevel"/>
    <w:tmpl w:val="EF2AA9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7A54E8"/>
    <w:multiLevelType w:val="multilevel"/>
    <w:tmpl w:val="07B04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3C068E"/>
    <w:multiLevelType w:val="multilevel"/>
    <w:tmpl w:val="42C046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C013580"/>
    <w:multiLevelType w:val="hybridMultilevel"/>
    <w:tmpl w:val="9E26A6A6"/>
    <w:lvl w:ilvl="0" w:tplc="B54C9AF2">
      <w:start w:val="1"/>
      <w:numFmt w:val="decimal"/>
      <w:lvlText w:val="%1."/>
      <w:lvlJc w:val="left"/>
      <w:pPr>
        <w:ind w:left="927" w:hanging="360"/>
      </w:pPr>
      <w:rPr>
        <w:rFonts w:hint="default"/>
        <w:i w:val="0"/>
        <w:i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15:restartNumberingAfterBreak="0">
    <w:nsid w:val="3DCD2E7B"/>
    <w:multiLevelType w:val="multilevel"/>
    <w:tmpl w:val="B9AA3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032BB7"/>
    <w:multiLevelType w:val="multilevel"/>
    <w:tmpl w:val="76CA8C1A"/>
    <w:lvl w:ilvl="0">
      <w:start w:val="1"/>
      <w:numFmt w:val="decimal"/>
      <w:lvlText w:val="%1."/>
      <w:lvlJc w:val="left"/>
      <w:pPr>
        <w:ind w:left="1275"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4AF5514B"/>
    <w:multiLevelType w:val="hybridMultilevel"/>
    <w:tmpl w:val="29F4F4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F951E19"/>
    <w:multiLevelType w:val="multilevel"/>
    <w:tmpl w:val="DD8AA2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60AA16FA"/>
    <w:multiLevelType w:val="multilevel"/>
    <w:tmpl w:val="4288C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4E323D3"/>
    <w:multiLevelType w:val="hybridMultilevel"/>
    <w:tmpl w:val="77C662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6B4561B"/>
    <w:multiLevelType w:val="hybridMultilevel"/>
    <w:tmpl w:val="187C92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9995FAF"/>
    <w:multiLevelType w:val="multilevel"/>
    <w:tmpl w:val="16DAF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36A689B"/>
    <w:multiLevelType w:val="multilevel"/>
    <w:tmpl w:val="A6C43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B6062AB"/>
    <w:multiLevelType w:val="multilevel"/>
    <w:tmpl w:val="1CE000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10"/>
  </w:num>
  <w:num w:numId="3">
    <w:abstractNumId w:val="16"/>
  </w:num>
  <w:num w:numId="4">
    <w:abstractNumId w:val="7"/>
  </w:num>
  <w:num w:numId="5">
    <w:abstractNumId w:val="5"/>
  </w:num>
  <w:num w:numId="6">
    <w:abstractNumId w:val="14"/>
  </w:num>
  <w:num w:numId="7">
    <w:abstractNumId w:val="11"/>
  </w:num>
  <w:num w:numId="8">
    <w:abstractNumId w:val="3"/>
  </w:num>
  <w:num w:numId="9">
    <w:abstractNumId w:val="4"/>
  </w:num>
  <w:num w:numId="10">
    <w:abstractNumId w:val="15"/>
  </w:num>
  <w:num w:numId="11">
    <w:abstractNumId w:val="8"/>
  </w:num>
  <w:num w:numId="12">
    <w:abstractNumId w:val="6"/>
  </w:num>
  <w:num w:numId="13">
    <w:abstractNumId w:val="2"/>
  </w:num>
  <w:num w:numId="14">
    <w:abstractNumId w:val="13"/>
  </w:num>
  <w:num w:numId="15">
    <w:abstractNumId w:val="12"/>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1AC"/>
    <w:rsid w:val="000009C9"/>
    <w:rsid w:val="00000B22"/>
    <w:rsid w:val="000019E9"/>
    <w:rsid w:val="0000269B"/>
    <w:rsid w:val="0000394C"/>
    <w:rsid w:val="00003A92"/>
    <w:rsid w:val="00003D28"/>
    <w:rsid w:val="00003F17"/>
    <w:rsid w:val="00006571"/>
    <w:rsid w:val="00007410"/>
    <w:rsid w:val="00007E5A"/>
    <w:rsid w:val="00010485"/>
    <w:rsid w:val="0001054E"/>
    <w:rsid w:val="00011E92"/>
    <w:rsid w:val="000167F7"/>
    <w:rsid w:val="00016EA2"/>
    <w:rsid w:val="0001739E"/>
    <w:rsid w:val="000215FB"/>
    <w:rsid w:val="0002166F"/>
    <w:rsid w:val="00022C7A"/>
    <w:rsid w:val="00022E37"/>
    <w:rsid w:val="00023107"/>
    <w:rsid w:val="0002323C"/>
    <w:rsid w:val="0002400C"/>
    <w:rsid w:val="0002494F"/>
    <w:rsid w:val="0002775C"/>
    <w:rsid w:val="00031788"/>
    <w:rsid w:val="00033206"/>
    <w:rsid w:val="00035E33"/>
    <w:rsid w:val="00035E54"/>
    <w:rsid w:val="00037022"/>
    <w:rsid w:val="000408CB"/>
    <w:rsid w:val="00040CD6"/>
    <w:rsid w:val="00043A9E"/>
    <w:rsid w:val="00044218"/>
    <w:rsid w:val="00044A9A"/>
    <w:rsid w:val="00045007"/>
    <w:rsid w:val="000456AB"/>
    <w:rsid w:val="00045F5D"/>
    <w:rsid w:val="000468A6"/>
    <w:rsid w:val="00050306"/>
    <w:rsid w:val="00050A28"/>
    <w:rsid w:val="00051C68"/>
    <w:rsid w:val="00051E08"/>
    <w:rsid w:val="00052E5D"/>
    <w:rsid w:val="00052F94"/>
    <w:rsid w:val="00054167"/>
    <w:rsid w:val="0005502E"/>
    <w:rsid w:val="00056471"/>
    <w:rsid w:val="000610FC"/>
    <w:rsid w:val="00061EAF"/>
    <w:rsid w:val="000645F8"/>
    <w:rsid w:val="000647AA"/>
    <w:rsid w:val="00064FE9"/>
    <w:rsid w:val="00065AD7"/>
    <w:rsid w:val="00066500"/>
    <w:rsid w:val="0006796A"/>
    <w:rsid w:val="0007056F"/>
    <w:rsid w:val="0007446E"/>
    <w:rsid w:val="000744DC"/>
    <w:rsid w:val="00075231"/>
    <w:rsid w:val="000752AE"/>
    <w:rsid w:val="00075704"/>
    <w:rsid w:val="00075A88"/>
    <w:rsid w:val="00075EAE"/>
    <w:rsid w:val="00076914"/>
    <w:rsid w:val="00077ED5"/>
    <w:rsid w:val="000802A3"/>
    <w:rsid w:val="00080A53"/>
    <w:rsid w:val="00080E4F"/>
    <w:rsid w:val="00081AE8"/>
    <w:rsid w:val="000834F9"/>
    <w:rsid w:val="00087183"/>
    <w:rsid w:val="000871B1"/>
    <w:rsid w:val="000874E8"/>
    <w:rsid w:val="00091F28"/>
    <w:rsid w:val="000934F1"/>
    <w:rsid w:val="0009462F"/>
    <w:rsid w:val="00094807"/>
    <w:rsid w:val="00095253"/>
    <w:rsid w:val="0009652F"/>
    <w:rsid w:val="0009701B"/>
    <w:rsid w:val="00097DA2"/>
    <w:rsid w:val="000A0463"/>
    <w:rsid w:val="000A23F2"/>
    <w:rsid w:val="000A24D1"/>
    <w:rsid w:val="000A2646"/>
    <w:rsid w:val="000A451D"/>
    <w:rsid w:val="000A6CFD"/>
    <w:rsid w:val="000A6FB2"/>
    <w:rsid w:val="000A73C7"/>
    <w:rsid w:val="000B7126"/>
    <w:rsid w:val="000B7B5B"/>
    <w:rsid w:val="000C0315"/>
    <w:rsid w:val="000C0C93"/>
    <w:rsid w:val="000C1881"/>
    <w:rsid w:val="000C22A7"/>
    <w:rsid w:val="000C4570"/>
    <w:rsid w:val="000C5978"/>
    <w:rsid w:val="000C75FC"/>
    <w:rsid w:val="000D18E0"/>
    <w:rsid w:val="000D1EEC"/>
    <w:rsid w:val="000D2B70"/>
    <w:rsid w:val="000D2F59"/>
    <w:rsid w:val="000D443F"/>
    <w:rsid w:val="000D59B8"/>
    <w:rsid w:val="000D5C0D"/>
    <w:rsid w:val="000D6135"/>
    <w:rsid w:val="000E17B0"/>
    <w:rsid w:val="000E1894"/>
    <w:rsid w:val="000E28C1"/>
    <w:rsid w:val="000E2F30"/>
    <w:rsid w:val="000E383F"/>
    <w:rsid w:val="000E44FC"/>
    <w:rsid w:val="000E4E1B"/>
    <w:rsid w:val="000E639A"/>
    <w:rsid w:val="000E66DB"/>
    <w:rsid w:val="000E6C14"/>
    <w:rsid w:val="000E76C6"/>
    <w:rsid w:val="000F2BF6"/>
    <w:rsid w:val="000F3E88"/>
    <w:rsid w:val="000F3F7C"/>
    <w:rsid w:val="000F42C2"/>
    <w:rsid w:val="000F5250"/>
    <w:rsid w:val="000F5CB2"/>
    <w:rsid w:val="001018BD"/>
    <w:rsid w:val="00111409"/>
    <w:rsid w:val="00112A22"/>
    <w:rsid w:val="0011344A"/>
    <w:rsid w:val="001134F0"/>
    <w:rsid w:val="00113A1D"/>
    <w:rsid w:val="00113B08"/>
    <w:rsid w:val="00113D7A"/>
    <w:rsid w:val="00114BFF"/>
    <w:rsid w:val="00115786"/>
    <w:rsid w:val="00116230"/>
    <w:rsid w:val="0011638A"/>
    <w:rsid w:val="00120B59"/>
    <w:rsid w:val="0012167E"/>
    <w:rsid w:val="00121C87"/>
    <w:rsid w:val="00122C95"/>
    <w:rsid w:val="00124E69"/>
    <w:rsid w:val="001257EB"/>
    <w:rsid w:val="0012608D"/>
    <w:rsid w:val="00130749"/>
    <w:rsid w:val="0013166A"/>
    <w:rsid w:val="00132E63"/>
    <w:rsid w:val="0013592E"/>
    <w:rsid w:val="00140671"/>
    <w:rsid w:val="001408ED"/>
    <w:rsid w:val="00141C6E"/>
    <w:rsid w:val="00142470"/>
    <w:rsid w:val="00144AB5"/>
    <w:rsid w:val="00144B55"/>
    <w:rsid w:val="00147917"/>
    <w:rsid w:val="0015065D"/>
    <w:rsid w:val="0015137E"/>
    <w:rsid w:val="00151C86"/>
    <w:rsid w:val="00152DA6"/>
    <w:rsid w:val="00154632"/>
    <w:rsid w:val="00154FC6"/>
    <w:rsid w:val="001555A5"/>
    <w:rsid w:val="001568A2"/>
    <w:rsid w:val="0016024D"/>
    <w:rsid w:val="00160533"/>
    <w:rsid w:val="00162D87"/>
    <w:rsid w:val="001651C8"/>
    <w:rsid w:val="001654F7"/>
    <w:rsid w:val="00166255"/>
    <w:rsid w:val="0016644B"/>
    <w:rsid w:val="00166F04"/>
    <w:rsid w:val="00167A00"/>
    <w:rsid w:val="00167B66"/>
    <w:rsid w:val="00167F11"/>
    <w:rsid w:val="00170625"/>
    <w:rsid w:val="001750D0"/>
    <w:rsid w:val="00175F1D"/>
    <w:rsid w:val="00177B09"/>
    <w:rsid w:val="00177D53"/>
    <w:rsid w:val="001807A2"/>
    <w:rsid w:val="0018275E"/>
    <w:rsid w:val="00182E17"/>
    <w:rsid w:val="001851C0"/>
    <w:rsid w:val="00186143"/>
    <w:rsid w:val="001922D0"/>
    <w:rsid w:val="00193162"/>
    <w:rsid w:val="001947E9"/>
    <w:rsid w:val="00194A87"/>
    <w:rsid w:val="0019515F"/>
    <w:rsid w:val="0019656E"/>
    <w:rsid w:val="00196BF8"/>
    <w:rsid w:val="001A3C84"/>
    <w:rsid w:val="001A493C"/>
    <w:rsid w:val="001A643F"/>
    <w:rsid w:val="001A6BC9"/>
    <w:rsid w:val="001A7E4B"/>
    <w:rsid w:val="001B068B"/>
    <w:rsid w:val="001B376F"/>
    <w:rsid w:val="001B63E8"/>
    <w:rsid w:val="001B64B3"/>
    <w:rsid w:val="001C169A"/>
    <w:rsid w:val="001C1CB5"/>
    <w:rsid w:val="001C1E0A"/>
    <w:rsid w:val="001C367B"/>
    <w:rsid w:val="001C37F1"/>
    <w:rsid w:val="001C4916"/>
    <w:rsid w:val="001C657A"/>
    <w:rsid w:val="001C6BCB"/>
    <w:rsid w:val="001C73A6"/>
    <w:rsid w:val="001C7A1C"/>
    <w:rsid w:val="001D10AF"/>
    <w:rsid w:val="001D2407"/>
    <w:rsid w:val="001D59D6"/>
    <w:rsid w:val="001D5CC0"/>
    <w:rsid w:val="001D60C6"/>
    <w:rsid w:val="001D6290"/>
    <w:rsid w:val="001D6461"/>
    <w:rsid w:val="001D6AE4"/>
    <w:rsid w:val="001D7984"/>
    <w:rsid w:val="001E2BBA"/>
    <w:rsid w:val="001E3017"/>
    <w:rsid w:val="001E3BD4"/>
    <w:rsid w:val="001E46B7"/>
    <w:rsid w:val="001E594E"/>
    <w:rsid w:val="001E7603"/>
    <w:rsid w:val="001E7E9A"/>
    <w:rsid w:val="001F00F4"/>
    <w:rsid w:val="001F061E"/>
    <w:rsid w:val="001F1697"/>
    <w:rsid w:val="001F4D56"/>
    <w:rsid w:val="001F5BC2"/>
    <w:rsid w:val="001F5FE4"/>
    <w:rsid w:val="001F68B7"/>
    <w:rsid w:val="00201064"/>
    <w:rsid w:val="00204729"/>
    <w:rsid w:val="00206EFD"/>
    <w:rsid w:val="0021134F"/>
    <w:rsid w:val="002117AE"/>
    <w:rsid w:val="0021197B"/>
    <w:rsid w:val="00211B3B"/>
    <w:rsid w:val="00211FEA"/>
    <w:rsid w:val="0021333A"/>
    <w:rsid w:val="00213E5D"/>
    <w:rsid w:val="00215169"/>
    <w:rsid w:val="002165AE"/>
    <w:rsid w:val="002166DC"/>
    <w:rsid w:val="00217013"/>
    <w:rsid w:val="00220D97"/>
    <w:rsid w:val="0022251F"/>
    <w:rsid w:val="00223172"/>
    <w:rsid w:val="002239F0"/>
    <w:rsid w:val="00223E29"/>
    <w:rsid w:val="00224C66"/>
    <w:rsid w:val="00224CE6"/>
    <w:rsid w:val="00232D04"/>
    <w:rsid w:val="00233E11"/>
    <w:rsid w:val="00235BC0"/>
    <w:rsid w:val="00236053"/>
    <w:rsid w:val="002372B8"/>
    <w:rsid w:val="00241D42"/>
    <w:rsid w:val="002446A4"/>
    <w:rsid w:val="002448F4"/>
    <w:rsid w:val="00247C9A"/>
    <w:rsid w:val="00247EA1"/>
    <w:rsid w:val="00251921"/>
    <w:rsid w:val="00253303"/>
    <w:rsid w:val="00255ECE"/>
    <w:rsid w:val="00256B23"/>
    <w:rsid w:val="002579AC"/>
    <w:rsid w:val="00257FD4"/>
    <w:rsid w:val="00260B3A"/>
    <w:rsid w:val="00262EAA"/>
    <w:rsid w:val="002645B7"/>
    <w:rsid w:val="00267BA2"/>
    <w:rsid w:val="002702CD"/>
    <w:rsid w:val="00272DCB"/>
    <w:rsid w:val="002737FB"/>
    <w:rsid w:val="00275954"/>
    <w:rsid w:val="002770B7"/>
    <w:rsid w:val="002806AE"/>
    <w:rsid w:val="00281BDB"/>
    <w:rsid w:val="002847D7"/>
    <w:rsid w:val="00284B40"/>
    <w:rsid w:val="00285C84"/>
    <w:rsid w:val="00287098"/>
    <w:rsid w:val="00290121"/>
    <w:rsid w:val="00290AF1"/>
    <w:rsid w:val="00292EA2"/>
    <w:rsid w:val="00293FAC"/>
    <w:rsid w:val="00294498"/>
    <w:rsid w:val="00294999"/>
    <w:rsid w:val="00294AFA"/>
    <w:rsid w:val="002958B5"/>
    <w:rsid w:val="00297B23"/>
    <w:rsid w:val="00297E72"/>
    <w:rsid w:val="002A31C7"/>
    <w:rsid w:val="002A3599"/>
    <w:rsid w:val="002A3932"/>
    <w:rsid w:val="002A5BAA"/>
    <w:rsid w:val="002A7E08"/>
    <w:rsid w:val="002B018F"/>
    <w:rsid w:val="002B01A2"/>
    <w:rsid w:val="002B1F82"/>
    <w:rsid w:val="002B2253"/>
    <w:rsid w:val="002B2AB0"/>
    <w:rsid w:val="002B7C1B"/>
    <w:rsid w:val="002C3EE5"/>
    <w:rsid w:val="002C4A5F"/>
    <w:rsid w:val="002C4F16"/>
    <w:rsid w:val="002C60FB"/>
    <w:rsid w:val="002C6767"/>
    <w:rsid w:val="002D1E01"/>
    <w:rsid w:val="002D3480"/>
    <w:rsid w:val="002D4ACB"/>
    <w:rsid w:val="002D5C80"/>
    <w:rsid w:val="002E07C9"/>
    <w:rsid w:val="002E1869"/>
    <w:rsid w:val="002E1B34"/>
    <w:rsid w:val="002E4902"/>
    <w:rsid w:val="002E5217"/>
    <w:rsid w:val="002E648E"/>
    <w:rsid w:val="002E6F5C"/>
    <w:rsid w:val="002F04BF"/>
    <w:rsid w:val="002F0CB0"/>
    <w:rsid w:val="002F1145"/>
    <w:rsid w:val="002F15F0"/>
    <w:rsid w:val="002F29EE"/>
    <w:rsid w:val="002F4057"/>
    <w:rsid w:val="002F5679"/>
    <w:rsid w:val="002F631F"/>
    <w:rsid w:val="002F680C"/>
    <w:rsid w:val="002F79D7"/>
    <w:rsid w:val="002F7AE7"/>
    <w:rsid w:val="00306126"/>
    <w:rsid w:val="0031031D"/>
    <w:rsid w:val="00314A89"/>
    <w:rsid w:val="00314E99"/>
    <w:rsid w:val="00317FB6"/>
    <w:rsid w:val="00320D01"/>
    <w:rsid w:val="00323960"/>
    <w:rsid w:val="00323CFD"/>
    <w:rsid w:val="0032534C"/>
    <w:rsid w:val="00325854"/>
    <w:rsid w:val="00325EEF"/>
    <w:rsid w:val="00326844"/>
    <w:rsid w:val="003271FA"/>
    <w:rsid w:val="00332F04"/>
    <w:rsid w:val="00333D14"/>
    <w:rsid w:val="003371E0"/>
    <w:rsid w:val="00337E38"/>
    <w:rsid w:val="0034662C"/>
    <w:rsid w:val="0035084B"/>
    <w:rsid w:val="00350B67"/>
    <w:rsid w:val="003517F9"/>
    <w:rsid w:val="00351991"/>
    <w:rsid w:val="00351CF3"/>
    <w:rsid w:val="00351E10"/>
    <w:rsid w:val="003523B0"/>
    <w:rsid w:val="0035533A"/>
    <w:rsid w:val="0035644A"/>
    <w:rsid w:val="00357722"/>
    <w:rsid w:val="00360ECB"/>
    <w:rsid w:val="003615AE"/>
    <w:rsid w:val="00361A7F"/>
    <w:rsid w:val="003628AA"/>
    <w:rsid w:val="00362EBB"/>
    <w:rsid w:val="003657AE"/>
    <w:rsid w:val="00366B0E"/>
    <w:rsid w:val="003709FA"/>
    <w:rsid w:val="00370D91"/>
    <w:rsid w:val="00375AE7"/>
    <w:rsid w:val="00375E34"/>
    <w:rsid w:val="003770EA"/>
    <w:rsid w:val="0038068F"/>
    <w:rsid w:val="00382026"/>
    <w:rsid w:val="0038359B"/>
    <w:rsid w:val="003842FB"/>
    <w:rsid w:val="003850E6"/>
    <w:rsid w:val="00390DE5"/>
    <w:rsid w:val="003914D9"/>
    <w:rsid w:val="00392345"/>
    <w:rsid w:val="0039258A"/>
    <w:rsid w:val="00393100"/>
    <w:rsid w:val="0039310B"/>
    <w:rsid w:val="00396918"/>
    <w:rsid w:val="0039725F"/>
    <w:rsid w:val="003A14F4"/>
    <w:rsid w:val="003A501D"/>
    <w:rsid w:val="003A5686"/>
    <w:rsid w:val="003A5CCD"/>
    <w:rsid w:val="003A6A83"/>
    <w:rsid w:val="003A74F5"/>
    <w:rsid w:val="003B0DE7"/>
    <w:rsid w:val="003B19FC"/>
    <w:rsid w:val="003B1CB5"/>
    <w:rsid w:val="003B5300"/>
    <w:rsid w:val="003B5EF5"/>
    <w:rsid w:val="003B781C"/>
    <w:rsid w:val="003C00C6"/>
    <w:rsid w:val="003C3CB9"/>
    <w:rsid w:val="003C4800"/>
    <w:rsid w:val="003C5F72"/>
    <w:rsid w:val="003C5FC2"/>
    <w:rsid w:val="003C7206"/>
    <w:rsid w:val="003C7730"/>
    <w:rsid w:val="003D13F9"/>
    <w:rsid w:val="003D2848"/>
    <w:rsid w:val="003D2CCD"/>
    <w:rsid w:val="003D653A"/>
    <w:rsid w:val="003D6FD1"/>
    <w:rsid w:val="003E188A"/>
    <w:rsid w:val="003E2388"/>
    <w:rsid w:val="003E372E"/>
    <w:rsid w:val="003E5879"/>
    <w:rsid w:val="003E614D"/>
    <w:rsid w:val="003E6EBE"/>
    <w:rsid w:val="003F2C13"/>
    <w:rsid w:val="003F441B"/>
    <w:rsid w:val="003F6079"/>
    <w:rsid w:val="003F641B"/>
    <w:rsid w:val="00400A43"/>
    <w:rsid w:val="00403C55"/>
    <w:rsid w:val="004047BB"/>
    <w:rsid w:val="00406036"/>
    <w:rsid w:val="00406AEB"/>
    <w:rsid w:val="00407645"/>
    <w:rsid w:val="00411D47"/>
    <w:rsid w:val="004129E4"/>
    <w:rsid w:val="00414AB8"/>
    <w:rsid w:val="00416B0A"/>
    <w:rsid w:val="004200C1"/>
    <w:rsid w:val="00420F74"/>
    <w:rsid w:val="004216CD"/>
    <w:rsid w:val="004238B6"/>
    <w:rsid w:val="0042566C"/>
    <w:rsid w:val="004258F0"/>
    <w:rsid w:val="0042672C"/>
    <w:rsid w:val="004268D2"/>
    <w:rsid w:val="00427AF0"/>
    <w:rsid w:val="00431A42"/>
    <w:rsid w:val="0043214D"/>
    <w:rsid w:val="00432598"/>
    <w:rsid w:val="00433F3E"/>
    <w:rsid w:val="004346BF"/>
    <w:rsid w:val="00434AFC"/>
    <w:rsid w:val="004352B4"/>
    <w:rsid w:val="0044314B"/>
    <w:rsid w:val="00445904"/>
    <w:rsid w:val="00446298"/>
    <w:rsid w:val="004466EE"/>
    <w:rsid w:val="004467E7"/>
    <w:rsid w:val="00447610"/>
    <w:rsid w:val="00447674"/>
    <w:rsid w:val="00454785"/>
    <w:rsid w:val="0046111F"/>
    <w:rsid w:val="00461A60"/>
    <w:rsid w:val="00462B40"/>
    <w:rsid w:val="00464064"/>
    <w:rsid w:val="00464721"/>
    <w:rsid w:val="00464C2F"/>
    <w:rsid w:val="00466635"/>
    <w:rsid w:val="00467BB7"/>
    <w:rsid w:val="00467FE2"/>
    <w:rsid w:val="00470365"/>
    <w:rsid w:val="00470418"/>
    <w:rsid w:val="00471B0C"/>
    <w:rsid w:val="00471B4B"/>
    <w:rsid w:val="004742A7"/>
    <w:rsid w:val="004744BD"/>
    <w:rsid w:val="004747A1"/>
    <w:rsid w:val="004769D1"/>
    <w:rsid w:val="00477E53"/>
    <w:rsid w:val="0048062F"/>
    <w:rsid w:val="0048110F"/>
    <w:rsid w:val="00483C81"/>
    <w:rsid w:val="004866ED"/>
    <w:rsid w:val="0049298F"/>
    <w:rsid w:val="00494480"/>
    <w:rsid w:val="0049577D"/>
    <w:rsid w:val="00495D89"/>
    <w:rsid w:val="004A0393"/>
    <w:rsid w:val="004A0C5D"/>
    <w:rsid w:val="004A0E58"/>
    <w:rsid w:val="004A28B9"/>
    <w:rsid w:val="004A3B1B"/>
    <w:rsid w:val="004A4195"/>
    <w:rsid w:val="004A48DB"/>
    <w:rsid w:val="004A4C7B"/>
    <w:rsid w:val="004A6E71"/>
    <w:rsid w:val="004B0578"/>
    <w:rsid w:val="004B18BE"/>
    <w:rsid w:val="004C1F2C"/>
    <w:rsid w:val="004C37F5"/>
    <w:rsid w:val="004C5DFF"/>
    <w:rsid w:val="004C65AB"/>
    <w:rsid w:val="004C75D5"/>
    <w:rsid w:val="004D19D1"/>
    <w:rsid w:val="004D302D"/>
    <w:rsid w:val="004D34CF"/>
    <w:rsid w:val="004D7F64"/>
    <w:rsid w:val="004E1B13"/>
    <w:rsid w:val="004E3A0D"/>
    <w:rsid w:val="004E5ABF"/>
    <w:rsid w:val="004F0846"/>
    <w:rsid w:val="004F0882"/>
    <w:rsid w:val="004F1A53"/>
    <w:rsid w:val="004F2035"/>
    <w:rsid w:val="004F20A2"/>
    <w:rsid w:val="004F3C5B"/>
    <w:rsid w:val="004F552E"/>
    <w:rsid w:val="005005E6"/>
    <w:rsid w:val="00501217"/>
    <w:rsid w:val="005033FD"/>
    <w:rsid w:val="0050426D"/>
    <w:rsid w:val="005056CF"/>
    <w:rsid w:val="005079A4"/>
    <w:rsid w:val="00510E40"/>
    <w:rsid w:val="005111AC"/>
    <w:rsid w:val="005131A4"/>
    <w:rsid w:val="005161E9"/>
    <w:rsid w:val="00520337"/>
    <w:rsid w:val="00523002"/>
    <w:rsid w:val="0052385B"/>
    <w:rsid w:val="00523B37"/>
    <w:rsid w:val="00523D2B"/>
    <w:rsid w:val="00524EF8"/>
    <w:rsid w:val="005258AE"/>
    <w:rsid w:val="00530D99"/>
    <w:rsid w:val="0053139B"/>
    <w:rsid w:val="005322EA"/>
    <w:rsid w:val="005324CB"/>
    <w:rsid w:val="00533C9B"/>
    <w:rsid w:val="005341B3"/>
    <w:rsid w:val="0053766F"/>
    <w:rsid w:val="00540128"/>
    <w:rsid w:val="00541E1D"/>
    <w:rsid w:val="00543E09"/>
    <w:rsid w:val="005447C5"/>
    <w:rsid w:val="00544DC2"/>
    <w:rsid w:val="0054616C"/>
    <w:rsid w:val="00546A69"/>
    <w:rsid w:val="00546DFE"/>
    <w:rsid w:val="00550393"/>
    <w:rsid w:val="00550835"/>
    <w:rsid w:val="0055438B"/>
    <w:rsid w:val="00554685"/>
    <w:rsid w:val="00554986"/>
    <w:rsid w:val="005550C0"/>
    <w:rsid w:val="00555918"/>
    <w:rsid w:val="00556AF2"/>
    <w:rsid w:val="00557177"/>
    <w:rsid w:val="005571B4"/>
    <w:rsid w:val="005575D0"/>
    <w:rsid w:val="005611CB"/>
    <w:rsid w:val="00561CFE"/>
    <w:rsid w:val="005623CF"/>
    <w:rsid w:val="0056381F"/>
    <w:rsid w:val="00564AD9"/>
    <w:rsid w:val="00565F9C"/>
    <w:rsid w:val="0056686E"/>
    <w:rsid w:val="005677F0"/>
    <w:rsid w:val="0057142A"/>
    <w:rsid w:val="00571FD3"/>
    <w:rsid w:val="005740C6"/>
    <w:rsid w:val="0057630B"/>
    <w:rsid w:val="00576762"/>
    <w:rsid w:val="005772A6"/>
    <w:rsid w:val="00577AD6"/>
    <w:rsid w:val="00581FB3"/>
    <w:rsid w:val="0058248F"/>
    <w:rsid w:val="005825CA"/>
    <w:rsid w:val="0058346B"/>
    <w:rsid w:val="00583E5F"/>
    <w:rsid w:val="00583E84"/>
    <w:rsid w:val="0058482A"/>
    <w:rsid w:val="005874EB"/>
    <w:rsid w:val="005913B1"/>
    <w:rsid w:val="00591B13"/>
    <w:rsid w:val="0059304B"/>
    <w:rsid w:val="005931B7"/>
    <w:rsid w:val="005972B2"/>
    <w:rsid w:val="00597CBC"/>
    <w:rsid w:val="005A2860"/>
    <w:rsid w:val="005A5790"/>
    <w:rsid w:val="005B0F54"/>
    <w:rsid w:val="005B11CE"/>
    <w:rsid w:val="005B123C"/>
    <w:rsid w:val="005B1812"/>
    <w:rsid w:val="005B1FAC"/>
    <w:rsid w:val="005B3B81"/>
    <w:rsid w:val="005B44BB"/>
    <w:rsid w:val="005B5CD1"/>
    <w:rsid w:val="005B5E37"/>
    <w:rsid w:val="005B6355"/>
    <w:rsid w:val="005B6F68"/>
    <w:rsid w:val="005B75E5"/>
    <w:rsid w:val="005C30B6"/>
    <w:rsid w:val="005C6453"/>
    <w:rsid w:val="005C6CC6"/>
    <w:rsid w:val="005D1288"/>
    <w:rsid w:val="005D1F46"/>
    <w:rsid w:val="005D1FD8"/>
    <w:rsid w:val="005D20E8"/>
    <w:rsid w:val="005D2477"/>
    <w:rsid w:val="005D4BCE"/>
    <w:rsid w:val="005D64FC"/>
    <w:rsid w:val="005D75D8"/>
    <w:rsid w:val="005E17A1"/>
    <w:rsid w:val="005E1BBF"/>
    <w:rsid w:val="005E202A"/>
    <w:rsid w:val="005E458C"/>
    <w:rsid w:val="005E6852"/>
    <w:rsid w:val="005E6E03"/>
    <w:rsid w:val="005E754E"/>
    <w:rsid w:val="005E7A11"/>
    <w:rsid w:val="005F17AF"/>
    <w:rsid w:val="005F37B4"/>
    <w:rsid w:val="005F4668"/>
    <w:rsid w:val="005F52F7"/>
    <w:rsid w:val="005F609C"/>
    <w:rsid w:val="005F6F17"/>
    <w:rsid w:val="005F773E"/>
    <w:rsid w:val="005F7926"/>
    <w:rsid w:val="006001B7"/>
    <w:rsid w:val="006010C7"/>
    <w:rsid w:val="00601232"/>
    <w:rsid w:val="006021F3"/>
    <w:rsid w:val="00602735"/>
    <w:rsid w:val="00602B4B"/>
    <w:rsid w:val="006079B8"/>
    <w:rsid w:val="006109B4"/>
    <w:rsid w:val="00610DE8"/>
    <w:rsid w:val="00613253"/>
    <w:rsid w:val="0061345E"/>
    <w:rsid w:val="006148AE"/>
    <w:rsid w:val="00614916"/>
    <w:rsid w:val="00614C87"/>
    <w:rsid w:val="00615FD8"/>
    <w:rsid w:val="00616BEA"/>
    <w:rsid w:val="00620039"/>
    <w:rsid w:val="00620777"/>
    <w:rsid w:val="0062188E"/>
    <w:rsid w:val="00621BBB"/>
    <w:rsid w:val="00621FC2"/>
    <w:rsid w:val="0062229F"/>
    <w:rsid w:val="006225D1"/>
    <w:rsid w:val="00626F00"/>
    <w:rsid w:val="00636061"/>
    <w:rsid w:val="00637ADD"/>
    <w:rsid w:val="0064261E"/>
    <w:rsid w:val="006428A7"/>
    <w:rsid w:val="00644578"/>
    <w:rsid w:val="006449AD"/>
    <w:rsid w:val="00644EE7"/>
    <w:rsid w:val="00645859"/>
    <w:rsid w:val="0064741D"/>
    <w:rsid w:val="00647E8F"/>
    <w:rsid w:val="0065095A"/>
    <w:rsid w:val="00651CF0"/>
    <w:rsid w:val="00656574"/>
    <w:rsid w:val="00656B3A"/>
    <w:rsid w:val="00656C13"/>
    <w:rsid w:val="00656F56"/>
    <w:rsid w:val="0065731F"/>
    <w:rsid w:val="00660569"/>
    <w:rsid w:val="006625E3"/>
    <w:rsid w:val="00670AC8"/>
    <w:rsid w:val="00673E40"/>
    <w:rsid w:val="0067432C"/>
    <w:rsid w:val="00674628"/>
    <w:rsid w:val="00675130"/>
    <w:rsid w:val="00675BAD"/>
    <w:rsid w:val="00676070"/>
    <w:rsid w:val="006767CE"/>
    <w:rsid w:val="006772A6"/>
    <w:rsid w:val="00681168"/>
    <w:rsid w:val="00682603"/>
    <w:rsid w:val="006867C1"/>
    <w:rsid w:val="00690FD3"/>
    <w:rsid w:val="0069391E"/>
    <w:rsid w:val="00693F0E"/>
    <w:rsid w:val="00695805"/>
    <w:rsid w:val="00695EB4"/>
    <w:rsid w:val="00696288"/>
    <w:rsid w:val="006970D5"/>
    <w:rsid w:val="00697A0E"/>
    <w:rsid w:val="006A1A79"/>
    <w:rsid w:val="006A2B86"/>
    <w:rsid w:val="006A5EE2"/>
    <w:rsid w:val="006A6901"/>
    <w:rsid w:val="006B1BED"/>
    <w:rsid w:val="006B246B"/>
    <w:rsid w:val="006B3CDC"/>
    <w:rsid w:val="006B4069"/>
    <w:rsid w:val="006B45A8"/>
    <w:rsid w:val="006B5E3B"/>
    <w:rsid w:val="006B61D9"/>
    <w:rsid w:val="006C0A3A"/>
    <w:rsid w:val="006C2075"/>
    <w:rsid w:val="006C3F26"/>
    <w:rsid w:val="006C4E42"/>
    <w:rsid w:val="006C6A2C"/>
    <w:rsid w:val="006C7415"/>
    <w:rsid w:val="006C7F4D"/>
    <w:rsid w:val="006D0CFF"/>
    <w:rsid w:val="006D3BA7"/>
    <w:rsid w:val="006D41D5"/>
    <w:rsid w:val="006D461B"/>
    <w:rsid w:val="006D623F"/>
    <w:rsid w:val="006E086D"/>
    <w:rsid w:val="006E23F0"/>
    <w:rsid w:val="006E29AD"/>
    <w:rsid w:val="006E3245"/>
    <w:rsid w:val="006E4E94"/>
    <w:rsid w:val="006E54CB"/>
    <w:rsid w:val="006E5C0C"/>
    <w:rsid w:val="006E5FFB"/>
    <w:rsid w:val="006E7FDA"/>
    <w:rsid w:val="006F0E74"/>
    <w:rsid w:val="006F1645"/>
    <w:rsid w:val="006F25EF"/>
    <w:rsid w:val="006F32D2"/>
    <w:rsid w:val="006F4192"/>
    <w:rsid w:val="006F59E8"/>
    <w:rsid w:val="00700491"/>
    <w:rsid w:val="007042E0"/>
    <w:rsid w:val="00705569"/>
    <w:rsid w:val="0070771C"/>
    <w:rsid w:val="00713743"/>
    <w:rsid w:val="00714F31"/>
    <w:rsid w:val="007151E8"/>
    <w:rsid w:val="0071568F"/>
    <w:rsid w:val="00716814"/>
    <w:rsid w:val="0071713D"/>
    <w:rsid w:val="00717C87"/>
    <w:rsid w:val="00717EB8"/>
    <w:rsid w:val="00721468"/>
    <w:rsid w:val="00726FB8"/>
    <w:rsid w:val="007273F8"/>
    <w:rsid w:val="00730530"/>
    <w:rsid w:val="007305C8"/>
    <w:rsid w:val="007315B4"/>
    <w:rsid w:val="00735923"/>
    <w:rsid w:val="007413F4"/>
    <w:rsid w:val="00742604"/>
    <w:rsid w:val="00744082"/>
    <w:rsid w:val="007440BF"/>
    <w:rsid w:val="00744A78"/>
    <w:rsid w:val="00744FF5"/>
    <w:rsid w:val="00747061"/>
    <w:rsid w:val="0075235A"/>
    <w:rsid w:val="0075467D"/>
    <w:rsid w:val="007566E0"/>
    <w:rsid w:val="00763447"/>
    <w:rsid w:val="00764785"/>
    <w:rsid w:val="00766E97"/>
    <w:rsid w:val="007671EE"/>
    <w:rsid w:val="00767CBB"/>
    <w:rsid w:val="00770381"/>
    <w:rsid w:val="0077085C"/>
    <w:rsid w:val="007712B6"/>
    <w:rsid w:val="007725E0"/>
    <w:rsid w:val="007762AE"/>
    <w:rsid w:val="00776678"/>
    <w:rsid w:val="00776DBB"/>
    <w:rsid w:val="0078223D"/>
    <w:rsid w:val="007825B3"/>
    <w:rsid w:val="0078284E"/>
    <w:rsid w:val="00783CB8"/>
    <w:rsid w:val="0078495B"/>
    <w:rsid w:val="00786379"/>
    <w:rsid w:val="00790EB5"/>
    <w:rsid w:val="007918E1"/>
    <w:rsid w:val="00796C44"/>
    <w:rsid w:val="007979B2"/>
    <w:rsid w:val="007A0EA4"/>
    <w:rsid w:val="007A1D9D"/>
    <w:rsid w:val="007A21F1"/>
    <w:rsid w:val="007A3AD5"/>
    <w:rsid w:val="007A3EA6"/>
    <w:rsid w:val="007A4316"/>
    <w:rsid w:val="007A57EF"/>
    <w:rsid w:val="007A5997"/>
    <w:rsid w:val="007A67BA"/>
    <w:rsid w:val="007A690B"/>
    <w:rsid w:val="007B1DE3"/>
    <w:rsid w:val="007B30D3"/>
    <w:rsid w:val="007B3689"/>
    <w:rsid w:val="007B5473"/>
    <w:rsid w:val="007B58D2"/>
    <w:rsid w:val="007C0A12"/>
    <w:rsid w:val="007C0A51"/>
    <w:rsid w:val="007C4F28"/>
    <w:rsid w:val="007C534E"/>
    <w:rsid w:val="007C633C"/>
    <w:rsid w:val="007C67E1"/>
    <w:rsid w:val="007D1044"/>
    <w:rsid w:val="007D3033"/>
    <w:rsid w:val="007D46B8"/>
    <w:rsid w:val="007D4EFE"/>
    <w:rsid w:val="007D69AD"/>
    <w:rsid w:val="007D6EF6"/>
    <w:rsid w:val="007E10C6"/>
    <w:rsid w:val="007E4BD7"/>
    <w:rsid w:val="007E6323"/>
    <w:rsid w:val="007F0409"/>
    <w:rsid w:val="007F17AA"/>
    <w:rsid w:val="007F4CBC"/>
    <w:rsid w:val="007F57F5"/>
    <w:rsid w:val="007F5906"/>
    <w:rsid w:val="007F5D66"/>
    <w:rsid w:val="007F64EF"/>
    <w:rsid w:val="007F6A12"/>
    <w:rsid w:val="007F6FAC"/>
    <w:rsid w:val="007F7104"/>
    <w:rsid w:val="00800C20"/>
    <w:rsid w:val="00800E2F"/>
    <w:rsid w:val="00801595"/>
    <w:rsid w:val="00802C00"/>
    <w:rsid w:val="008048C6"/>
    <w:rsid w:val="00807038"/>
    <w:rsid w:val="00807BEE"/>
    <w:rsid w:val="00810423"/>
    <w:rsid w:val="008111D5"/>
    <w:rsid w:val="008114AD"/>
    <w:rsid w:val="00811CD2"/>
    <w:rsid w:val="00812C6C"/>
    <w:rsid w:val="00813B39"/>
    <w:rsid w:val="00814118"/>
    <w:rsid w:val="008146CC"/>
    <w:rsid w:val="00815DE9"/>
    <w:rsid w:val="00816998"/>
    <w:rsid w:val="00817161"/>
    <w:rsid w:val="00821B5E"/>
    <w:rsid w:val="00821E24"/>
    <w:rsid w:val="00823132"/>
    <w:rsid w:val="00832298"/>
    <w:rsid w:val="008328B9"/>
    <w:rsid w:val="0083296D"/>
    <w:rsid w:val="00834BC1"/>
    <w:rsid w:val="00837015"/>
    <w:rsid w:val="00837629"/>
    <w:rsid w:val="008405DD"/>
    <w:rsid w:val="00840B8B"/>
    <w:rsid w:val="00843472"/>
    <w:rsid w:val="00843786"/>
    <w:rsid w:val="008446F0"/>
    <w:rsid w:val="008468F3"/>
    <w:rsid w:val="0084725B"/>
    <w:rsid w:val="0085071E"/>
    <w:rsid w:val="00851179"/>
    <w:rsid w:val="00852314"/>
    <w:rsid w:val="008524D8"/>
    <w:rsid w:val="008602E0"/>
    <w:rsid w:val="00860EF6"/>
    <w:rsid w:val="008618C6"/>
    <w:rsid w:val="00861937"/>
    <w:rsid w:val="0086299C"/>
    <w:rsid w:val="00865611"/>
    <w:rsid w:val="00867783"/>
    <w:rsid w:val="00875C3F"/>
    <w:rsid w:val="00875F78"/>
    <w:rsid w:val="0087643F"/>
    <w:rsid w:val="0087682C"/>
    <w:rsid w:val="008807EA"/>
    <w:rsid w:val="00881BFD"/>
    <w:rsid w:val="00883E15"/>
    <w:rsid w:val="00885A95"/>
    <w:rsid w:val="00885D78"/>
    <w:rsid w:val="008870A2"/>
    <w:rsid w:val="00887B43"/>
    <w:rsid w:val="00887F8B"/>
    <w:rsid w:val="00890094"/>
    <w:rsid w:val="00890911"/>
    <w:rsid w:val="00890F27"/>
    <w:rsid w:val="008936DF"/>
    <w:rsid w:val="008940A1"/>
    <w:rsid w:val="008953CB"/>
    <w:rsid w:val="00897930"/>
    <w:rsid w:val="008A062B"/>
    <w:rsid w:val="008A4C23"/>
    <w:rsid w:val="008A53E5"/>
    <w:rsid w:val="008A67C0"/>
    <w:rsid w:val="008A7E9B"/>
    <w:rsid w:val="008B1962"/>
    <w:rsid w:val="008B5432"/>
    <w:rsid w:val="008B6A00"/>
    <w:rsid w:val="008C49B9"/>
    <w:rsid w:val="008D3C36"/>
    <w:rsid w:val="008D4219"/>
    <w:rsid w:val="008D53A2"/>
    <w:rsid w:val="008D56F2"/>
    <w:rsid w:val="008D5F3C"/>
    <w:rsid w:val="008D7ADE"/>
    <w:rsid w:val="008D7D30"/>
    <w:rsid w:val="008E2851"/>
    <w:rsid w:val="008E509C"/>
    <w:rsid w:val="008E56CA"/>
    <w:rsid w:val="008E6592"/>
    <w:rsid w:val="008E6EBC"/>
    <w:rsid w:val="008E7B4A"/>
    <w:rsid w:val="008F120E"/>
    <w:rsid w:val="008F29FB"/>
    <w:rsid w:val="008F49BF"/>
    <w:rsid w:val="008F54C9"/>
    <w:rsid w:val="008F5B83"/>
    <w:rsid w:val="008F6461"/>
    <w:rsid w:val="008F7D2E"/>
    <w:rsid w:val="00900419"/>
    <w:rsid w:val="00901604"/>
    <w:rsid w:val="009018B9"/>
    <w:rsid w:val="00902568"/>
    <w:rsid w:val="00902F9E"/>
    <w:rsid w:val="0090382B"/>
    <w:rsid w:val="00904107"/>
    <w:rsid w:val="009050D2"/>
    <w:rsid w:val="00905422"/>
    <w:rsid w:val="0091596D"/>
    <w:rsid w:val="009165BD"/>
    <w:rsid w:val="009171C2"/>
    <w:rsid w:val="00920DEE"/>
    <w:rsid w:val="009215F7"/>
    <w:rsid w:val="009220AA"/>
    <w:rsid w:val="00923015"/>
    <w:rsid w:val="009231D4"/>
    <w:rsid w:val="009239AD"/>
    <w:rsid w:val="00924E0B"/>
    <w:rsid w:val="00925046"/>
    <w:rsid w:val="0092624B"/>
    <w:rsid w:val="00926483"/>
    <w:rsid w:val="00927209"/>
    <w:rsid w:val="009317BC"/>
    <w:rsid w:val="00934105"/>
    <w:rsid w:val="0093497D"/>
    <w:rsid w:val="009355F4"/>
    <w:rsid w:val="00935646"/>
    <w:rsid w:val="009360BB"/>
    <w:rsid w:val="00936691"/>
    <w:rsid w:val="00937459"/>
    <w:rsid w:val="00940CD7"/>
    <w:rsid w:val="00940D99"/>
    <w:rsid w:val="00942AB4"/>
    <w:rsid w:val="00942FD2"/>
    <w:rsid w:val="00943670"/>
    <w:rsid w:val="009437E4"/>
    <w:rsid w:val="00946133"/>
    <w:rsid w:val="00946442"/>
    <w:rsid w:val="009471FB"/>
    <w:rsid w:val="009474D9"/>
    <w:rsid w:val="00950319"/>
    <w:rsid w:val="00952531"/>
    <w:rsid w:val="00954C58"/>
    <w:rsid w:val="00954CCD"/>
    <w:rsid w:val="0095585C"/>
    <w:rsid w:val="00956023"/>
    <w:rsid w:val="0096000A"/>
    <w:rsid w:val="00961E3F"/>
    <w:rsid w:val="00963D55"/>
    <w:rsid w:val="009642E7"/>
    <w:rsid w:val="00967C6D"/>
    <w:rsid w:val="00970170"/>
    <w:rsid w:val="0097096F"/>
    <w:rsid w:val="00971748"/>
    <w:rsid w:val="009731C9"/>
    <w:rsid w:val="009757A7"/>
    <w:rsid w:val="00977AA1"/>
    <w:rsid w:val="00980A60"/>
    <w:rsid w:val="00980C1C"/>
    <w:rsid w:val="00981517"/>
    <w:rsid w:val="009835AE"/>
    <w:rsid w:val="00985495"/>
    <w:rsid w:val="009856DF"/>
    <w:rsid w:val="00991838"/>
    <w:rsid w:val="00992765"/>
    <w:rsid w:val="00992940"/>
    <w:rsid w:val="009932A4"/>
    <w:rsid w:val="00993C05"/>
    <w:rsid w:val="009971CC"/>
    <w:rsid w:val="009A1669"/>
    <w:rsid w:val="009A33CD"/>
    <w:rsid w:val="009A379D"/>
    <w:rsid w:val="009A5034"/>
    <w:rsid w:val="009A51B8"/>
    <w:rsid w:val="009A5C3E"/>
    <w:rsid w:val="009A663C"/>
    <w:rsid w:val="009A7AD0"/>
    <w:rsid w:val="009B0C16"/>
    <w:rsid w:val="009B1529"/>
    <w:rsid w:val="009B1F3D"/>
    <w:rsid w:val="009B40DA"/>
    <w:rsid w:val="009B43A7"/>
    <w:rsid w:val="009B584A"/>
    <w:rsid w:val="009B5CC2"/>
    <w:rsid w:val="009B76FB"/>
    <w:rsid w:val="009C0325"/>
    <w:rsid w:val="009C0AC4"/>
    <w:rsid w:val="009C1090"/>
    <w:rsid w:val="009C14F4"/>
    <w:rsid w:val="009C2009"/>
    <w:rsid w:val="009C20DA"/>
    <w:rsid w:val="009C5BE1"/>
    <w:rsid w:val="009C5EFA"/>
    <w:rsid w:val="009C6AF7"/>
    <w:rsid w:val="009C7C07"/>
    <w:rsid w:val="009D15B5"/>
    <w:rsid w:val="009D23F2"/>
    <w:rsid w:val="009D4792"/>
    <w:rsid w:val="009D4E59"/>
    <w:rsid w:val="009D5247"/>
    <w:rsid w:val="009D77B7"/>
    <w:rsid w:val="009D7EC2"/>
    <w:rsid w:val="009E09C1"/>
    <w:rsid w:val="009E0DAF"/>
    <w:rsid w:val="009E14C9"/>
    <w:rsid w:val="009E3BD7"/>
    <w:rsid w:val="009E413F"/>
    <w:rsid w:val="009E64FE"/>
    <w:rsid w:val="009E7124"/>
    <w:rsid w:val="009F1CD3"/>
    <w:rsid w:val="009F1F89"/>
    <w:rsid w:val="009F2605"/>
    <w:rsid w:val="009F316F"/>
    <w:rsid w:val="009F3E34"/>
    <w:rsid w:val="009F485C"/>
    <w:rsid w:val="009F5212"/>
    <w:rsid w:val="00A01E97"/>
    <w:rsid w:val="00A02A70"/>
    <w:rsid w:val="00A0324C"/>
    <w:rsid w:val="00A0326C"/>
    <w:rsid w:val="00A03377"/>
    <w:rsid w:val="00A063F1"/>
    <w:rsid w:val="00A06A05"/>
    <w:rsid w:val="00A06D05"/>
    <w:rsid w:val="00A07DF1"/>
    <w:rsid w:val="00A10AEF"/>
    <w:rsid w:val="00A147EA"/>
    <w:rsid w:val="00A14BD3"/>
    <w:rsid w:val="00A1515D"/>
    <w:rsid w:val="00A1741B"/>
    <w:rsid w:val="00A20D50"/>
    <w:rsid w:val="00A210EB"/>
    <w:rsid w:val="00A22EA5"/>
    <w:rsid w:val="00A22F79"/>
    <w:rsid w:val="00A24616"/>
    <w:rsid w:val="00A248C4"/>
    <w:rsid w:val="00A252B2"/>
    <w:rsid w:val="00A254C0"/>
    <w:rsid w:val="00A277BC"/>
    <w:rsid w:val="00A30C5B"/>
    <w:rsid w:val="00A31EA9"/>
    <w:rsid w:val="00A3396B"/>
    <w:rsid w:val="00A40286"/>
    <w:rsid w:val="00A41648"/>
    <w:rsid w:val="00A41DA4"/>
    <w:rsid w:val="00A41E28"/>
    <w:rsid w:val="00A42A64"/>
    <w:rsid w:val="00A43C8B"/>
    <w:rsid w:val="00A45A55"/>
    <w:rsid w:val="00A45FD9"/>
    <w:rsid w:val="00A46471"/>
    <w:rsid w:val="00A465C4"/>
    <w:rsid w:val="00A47653"/>
    <w:rsid w:val="00A505E0"/>
    <w:rsid w:val="00A532A5"/>
    <w:rsid w:val="00A55280"/>
    <w:rsid w:val="00A55B0E"/>
    <w:rsid w:val="00A55D7A"/>
    <w:rsid w:val="00A56673"/>
    <w:rsid w:val="00A57B74"/>
    <w:rsid w:val="00A57EC0"/>
    <w:rsid w:val="00A60016"/>
    <w:rsid w:val="00A607E3"/>
    <w:rsid w:val="00A6124B"/>
    <w:rsid w:val="00A61AE0"/>
    <w:rsid w:val="00A62402"/>
    <w:rsid w:val="00A62747"/>
    <w:rsid w:val="00A62FE3"/>
    <w:rsid w:val="00A6378B"/>
    <w:rsid w:val="00A63AC4"/>
    <w:rsid w:val="00A64465"/>
    <w:rsid w:val="00A652E2"/>
    <w:rsid w:val="00A659BA"/>
    <w:rsid w:val="00A67F27"/>
    <w:rsid w:val="00A70024"/>
    <w:rsid w:val="00A73F86"/>
    <w:rsid w:val="00A75005"/>
    <w:rsid w:val="00A75248"/>
    <w:rsid w:val="00A7591D"/>
    <w:rsid w:val="00A77ADA"/>
    <w:rsid w:val="00A83028"/>
    <w:rsid w:val="00A83292"/>
    <w:rsid w:val="00A836E1"/>
    <w:rsid w:val="00A86B51"/>
    <w:rsid w:val="00A87C55"/>
    <w:rsid w:val="00A87DA5"/>
    <w:rsid w:val="00A90295"/>
    <w:rsid w:val="00A91266"/>
    <w:rsid w:val="00A916E4"/>
    <w:rsid w:val="00A91BB4"/>
    <w:rsid w:val="00A93FB4"/>
    <w:rsid w:val="00A9411C"/>
    <w:rsid w:val="00A9464F"/>
    <w:rsid w:val="00A94DE3"/>
    <w:rsid w:val="00A97F42"/>
    <w:rsid w:val="00AA05CA"/>
    <w:rsid w:val="00AA2042"/>
    <w:rsid w:val="00AA3828"/>
    <w:rsid w:val="00AA4551"/>
    <w:rsid w:val="00AA7765"/>
    <w:rsid w:val="00AB12F7"/>
    <w:rsid w:val="00AB278B"/>
    <w:rsid w:val="00AB347A"/>
    <w:rsid w:val="00AB4574"/>
    <w:rsid w:val="00AB54E1"/>
    <w:rsid w:val="00AB62B7"/>
    <w:rsid w:val="00AB7297"/>
    <w:rsid w:val="00AC17A4"/>
    <w:rsid w:val="00AC1D5A"/>
    <w:rsid w:val="00AC6672"/>
    <w:rsid w:val="00AD1D17"/>
    <w:rsid w:val="00AD1D86"/>
    <w:rsid w:val="00AD254B"/>
    <w:rsid w:val="00AD62B5"/>
    <w:rsid w:val="00AD7076"/>
    <w:rsid w:val="00AD7389"/>
    <w:rsid w:val="00AE0580"/>
    <w:rsid w:val="00AE1479"/>
    <w:rsid w:val="00AE19AB"/>
    <w:rsid w:val="00AE1B22"/>
    <w:rsid w:val="00AE2B6C"/>
    <w:rsid w:val="00AE3674"/>
    <w:rsid w:val="00AE381C"/>
    <w:rsid w:val="00AE3AC9"/>
    <w:rsid w:val="00AF133A"/>
    <w:rsid w:val="00AF29A5"/>
    <w:rsid w:val="00AF34D3"/>
    <w:rsid w:val="00AF5B2F"/>
    <w:rsid w:val="00AF6BB4"/>
    <w:rsid w:val="00AF6DB3"/>
    <w:rsid w:val="00AF78B2"/>
    <w:rsid w:val="00B00C82"/>
    <w:rsid w:val="00B034F0"/>
    <w:rsid w:val="00B03AFA"/>
    <w:rsid w:val="00B06683"/>
    <w:rsid w:val="00B1174A"/>
    <w:rsid w:val="00B11D7D"/>
    <w:rsid w:val="00B1480C"/>
    <w:rsid w:val="00B14ED8"/>
    <w:rsid w:val="00B17B33"/>
    <w:rsid w:val="00B2017B"/>
    <w:rsid w:val="00B203F2"/>
    <w:rsid w:val="00B206D9"/>
    <w:rsid w:val="00B22BB6"/>
    <w:rsid w:val="00B25658"/>
    <w:rsid w:val="00B26148"/>
    <w:rsid w:val="00B3173C"/>
    <w:rsid w:val="00B32418"/>
    <w:rsid w:val="00B3267F"/>
    <w:rsid w:val="00B33F88"/>
    <w:rsid w:val="00B34B78"/>
    <w:rsid w:val="00B34BED"/>
    <w:rsid w:val="00B35371"/>
    <w:rsid w:val="00B3682B"/>
    <w:rsid w:val="00B3753B"/>
    <w:rsid w:val="00B37A09"/>
    <w:rsid w:val="00B409DA"/>
    <w:rsid w:val="00B42434"/>
    <w:rsid w:val="00B42BF5"/>
    <w:rsid w:val="00B43141"/>
    <w:rsid w:val="00B43F29"/>
    <w:rsid w:val="00B45D64"/>
    <w:rsid w:val="00B50BA9"/>
    <w:rsid w:val="00B50F14"/>
    <w:rsid w:val="00B51D1C"/>
    <w:rsid w:val="00B5348D"/>
    <w:rsid w:val="00B539B3"/>
    <w:rsid w:val="00B53B90"/>
    <w:rsid w:val="00B54815"/>
    <w:rsid w:val="00B548D6"/>
    <w:rsid w:val="00B54E5F"/>
    <w:rsid w:val="00B56D36"/>
    <w:rsid w:val="00B57337"/>
    <w:rsid w:val="00B60F51"/>
    <w:rsid w:val="00B61C75"/>
    <w:rsid w:val="00B71828"/>
    <w:rsid w:val="00B725F6"/>
    <w:rsid w:val="00B7700D"/>
    <w:rsid w:val="00B77E6A"/>
    <w:rsid w:val="00B81E21"/>
    <w:rsid w:val="00B832C1"/>
    <w:rsid w:val="00B8414F"/>
    <w:rsid w:val="00B849B4"/>
    <w:rsid w:val="00B84CFD"/>
    <w:rsid w:val="00B85C79"/>
    <w:rsid w:val="00B85C8F"/>
    <w:rsid w:val="00B90DBB"/>
    <w:rsid w:val="00B90DF5"/>
    <w:rsid w:val="00B921A0"/>
    <w:rsid w:val="00B94573"/>
    <w:rsid w:val="00B94915"/>
    <w:rsid w:val="00B96958"/>
    <w:rsid w:val="00BA0C8C"/>
    <w:rsid w:val="00BA2E03"/>
    <w:rsid w:val="00BA4B3F"/>
    <w:rsid w:val="00BA5EC5"/>
    <w:rsid w:val="00BA681A"/>
    <w:rsid w:val="00BA6BAB"/>
    <w:rsid w:val="00BB14B4"/>
    <w:rsid w:val="00BB20D5"/>
    <w:rsid w:val="00BB25DA"/>
    <w:rsid w:val="00BB559C"/>
    <w:rsid w:val="00BB635F"/>
    <w:rsid w:val="00BB689D"/>
    <w:rsid w:val="00BB74ED"/>
    <w:rsid w:val="00BC18FC"/>
    <w:rsid w:val="00BC2B8E"/>
    <w:rsid w:val="00BC3621"/>
    <w:rsid w:val="00BC6099"/>
    <w:rsid w:val="00BC63D3"/>
    <w:rsid w:val="00BC6BAD"/>
    <w:rsid w:val="00BC6BC1"/>
    <w:rsid w:val="00BC7420"/>
    <w:rsid w:val="00BD331E"/>
    <w:rsid w:val="00BD3D1B"/>
    <w:rsid w:val="00BD4A53"/>
    <w:rsid w:val="00BD509D"/>
    <w:rsid w:val="00BD670F"/>
    <w:rsid w:val="00BD6B9D"/>
    <w:rsid w:val="00BE221E"/>
    <w:rsid w:val="00BE2835"/>
    <w:rsid w:val="00BE2B14"/>
    <w:rsid w:val="00BE39DC"/>
    <w:rsid w:val="00BE49F5"/>
    <w:rsid w:val="00BF09AA"/>
    <w:rsid w:val="00BF0F0E"/>
    <w:rsid w:val="00BF189B"/>
    <w:rsid w:val="00BF1FC4"/>
    <w:rsid w:val="00BF218F"/>
    <w:rsid w:val="00BF24EE"/>
    <w:rsid w:val="00BF3F2E"/>
    <w:rsid w:val="00BF4D13"/>
    <w:rsid w:val="00BF5B9F"/>
    <w:rsid w:val="00C01AA3"/>
    <w:rsid w:val="00C04FB8"/>
    <w:rsid w:val="00C05258"/>
    <w:rsid w:val="00C061AD"/>
    <w:rsid w:val="00C06943"/>
    <w:rsid w:val="00C12A66"/>
    <w:rsid w:val="00C159B0"/>
    <w:rsid w:val="00C1663A"/>
    <w:rsid w:val="00C20C7D"/>
    <w:rsid w:val="00C20FF9"/>
    <w:rsid w:val="00C23E0C"/>
    <w:rsid w:val="00C244EF"/>
    <w:rsid w:val="00C24D85"/>
    <w:rsid w:val="00C2514D"/>
    <w:rsid w:val="00C25F9A"/>
    <w:rsid w:val="00C261CD"/>
    <w:rsid w:val="00C2785A"/>
    <w:rsid w:val="00C27E8E"/>
    <w:rsid w:val="00C302EF"/>
    <w:rsid w:val="00C33471"/>
    <w:rsid w:val="00C34466"/>
    <w:rsid w:val="00C35177"/>
    <w:rsid w:val="00C368B5"/>
    <w:rsid w:val="00C4217F"/>
    <w:rsid w:val="00C42E31"/>
    <w:rsid w:val="00C42F7A"/>
    <w:rsid w:val="00C43AED"/>
    <w:rsid w:val="00C43F01"/>
    <w:rsid w:val="00C45735"/>
    <w:rsid w:val="00C45BF1"/>
    <w:rsid w:val="00C505AD"/>
    <w:rsid w:val="00C509FF"/>
    <w:rsid w:val="00C531AD"/>
    <w:rsid w:val="00C562DA"/>
    <w:rsid w:val="00C5742F"/>
    <w:rsid w:val="00C5760A"/>
    <w:rsid w:val="00C62AA5"/>
    <w:rsid w:val="00C645F1"/>
    <w:rsid w:val="00C64636"/>
    <w:rsid w:val="00C64757"/>
    <w:rsid w:val="00C6547D"/>
    <w:rsid w:val="00C66F1D"/>
    <w:rsid w:val="00C701AF"/>
    <w:rsid w:val="00C70DEA"/>
    <w:rsid w:val="00C72C3F"/>
    <w:rsid w:val="00C74DEC"/>
    <w:rsid w:val="00C75DA0"/>
    <w:rsid w:val="00C764D3"/>
    <w:rsid w:val="00C7765B"/>
    <w:rsid w:val="00C80272"/>
    <w:rsid w:val="00C80B97"/>
    <w:rsid w:val="00C8192A"/>
    <w:rsid w:val="00C83A75"/>
    <w:rsid w:val="00C852AC"/>
    <w:rsid w:val="00C863DA"/>
    <w:rsid w:val="00C86B18"/>
    <w:rsid w:val="00C87D51"/>
    <w:rsid w:val="00C91C7F"/>
    <w:rsid w:val="00C94ECD"/>
    <w:rsid w:val="00C97B92"/>
    <w:rsid w:val="00CA00E5"/>
    <w:rsid w:val="00CA2AF1"/>
    <w:rsid w:val="00CA3049"/>
    <w:rsid w:val="00CA44FB"/>
    <w:rsid w:val="00CA4987"/>
    <w:rsid w:val="00CA6085"/>
    <w:rsid w:val="00CB0149"/>
    <w:rsid w:val="00CB1FAD"/>
    <w:rsid w:val="00CB380D"/>
    <w:rsid w:val="00CB49F5"/>
    <w:rsid w:val="00CB4BA8"/>
    <w:rsid w:val="00CB596F"/>
    <w:rsid w:val="00CB6737"/>
    <w:rsid w:val="00CB69A5"/>
    <w:rsid w:val="00CC0146"/>
    <w:rsid w:val="00CC01C9"/>
    <w:rsid w:val="00CC1702"/>
    <w:rsid w:val="00CC58EA"/>
    <w:rsid w:val="00CC5CFD"/>
    <w:rsid w:val="00CC6A38"/>
    <w:rsid w:val="00CD04A0"/>
    <w:rsid w:val="00CD0500"/>
    <w:rsid w:val="00CD1141"/>
    <w:rsid w:val="00CD3A0A"/>
    <w:rsid w:val="00CD4FB8"/>
    <w:rsid w:val="00CE2977"/>
    <w:rsid w:val="00CE3332"/>
    <w:rsid w:val="00CE5805"/>
    <w:rsid w:val="00CE7BCF"/>
    <w:rsid w:val="00CE7D0A"/>
    <w:rsid w:val="00CF141C"/>
    <w:rsid w:val="00CF16BE"/>
    <w:rsid w:val="00CF2D57"/>
    <w:rsid w:val="00CF3459"/>
    <w:rsid w:val="00CF37C3"/>
    <w:rsid w:val="00CF4E36"/>
    <w:rsid w:val="00CF7C84"/>
    <w:rsid w:val="00CF7F3F"/>
    <w:rsid w:val="00D035FD"/>
    <w:rsid w:val="00D041E1"/>
    <w:rsid w:val="00D05B4E"/>
    <w:rsid w:val="00D06481"/>
    <w:rsid w:val="00D06AC5"/>
    <w:rsid w:val="00D070DB"/>
    <w:rsid w:val="00D07232"/>
    <w:rsid w:val="00D073B3"/>
    <w:rsid w:val="00D07415"/>
    <w:rsid w:val="00D124D6"/>
    <w:rsid w:val="00D12B9E"/>
    <w:rsid w:val="00D131CA"/>
    <w:rsid w:val="00D15FFB"/>
    <w:rsid w:val="00D163DA"/>
    <w:rsid w:val="00D213E5"/>
    <w:rsid w:val="00D24308"/>
    <w:rsid w:val="00D26278"/>
    <w:rsid w:val="00D26B70"/>
    <w:rsid w:val="00D3387A"/>
    <w:rsid w:val="00D35231"/>
    <w:rsid w:val="00D352C0"/>
    <w:rsid w:val="00D359C8"/>
    <w:rsid w:val="00D37096"/>
    <w:rsid w:val="00D37E12"/>
    <w:rsid w:val="00D37F4F"/>
    <w:rsid w:val="00D44193"/>
    <w:rsid w:val="00D447FE"/>
    <w:rsid w:val="00D46250"/>
    <w:rsid w:val="00D46B92"/>
    <w:rsid w:val="00D47AA4"/>
    <w:rsid w:val="00D504F2"/>
    <w:rsid w:val="00D5096C"/>
    <w:rsid w:val="00D52FA2"/>
    <w:rsid w:val="00D5367A"/>
    <w:rsid w:val="00D53915"/>
    <w:rsid w:val="00D54558"/>
    <w:rsid w:val="00D55751"/>
    <w:rsid w:val="00D56D95"/>
    <w:rsid w:val="00D6062F"/>
    <w:rsid w:val="00D60D1D"/>
    <w:rsid w:val="00D611BA"/>
    <w:rsid w:val="00D61278"/>
    <w:rsid w:val="00D62369"/>
    <w:rsid w:val="00D62463"/>
    <w:rsid w:val="00D64744"/>
    <w:rsid w:val="00D66FDA"/>
    <w:rsid w:val="00D709BD"/>
    <w:rsid w:val="00D70BE1"/>
    <w:rsid w:val="00D71142"/>
    <w:rsid w:val="00D71851"/>
    <w:rsid w:val="00D72AF9"/>
    <w:rsid w:val="00D73D67"/>
    <w:rsid w:val="00D74EDF"/>
    <w:rsid w:val="00D756F8"/>
    <w:rsid w:val="00D75FB7"/>
    <w:rsid w:val="00D819DC"/>
    <w:rsid w:val="00D837AF"/>
    <w:rsid w:val="00D84032"/>
    <w:rsid w:val="00D848AF"/>
    <w:rsid w:val="00D860A5"/>
    <w:rsid w:val="00D87D5B"/>
    <w:rsid w:val="00D90A50"/>
    <w:rsid w:val="00D91385"/>
    <w:rsid w:val="00D93F0C"/>
    <w:rsid w:val="00D9410D"/>
    <w:rsid w:val="00D94D7C"/>
    <w:rsid w:val="00D95D50"/>
    <w:rsid w:val="00D95EFD"/>
    <w:rsid w:val="00D97614"/>
    <w:rsid w:val="00D97854"/>
    <w:rsid w:val="00D9798F"/>
    <w:rsid w:val="00DA07E4"/>
    <w:rsid w:val="00DA1FD7"/>
    <w:rsid w:val="00DA37E6"/>
    <w:rsid w:val="00DA3976"/>
    <w:rsid w:val="00DA6943"/>
    <w:rsid w:val="00DB1437"/>
    <w:rsid w:val="00DB2397"/>
    <w:rsid w:val="00DB2DE0"/>
    <w:rsid w:val="00DB3B25"/>
    <w:rsid w:val="00DC0517"/>
    <w:rsid w:val="00DC335C"/>
    <w:rsid w:val="00DC445D"/>
    <w:rsid w:val="00DC49EC"/>
    <w:rsid w:val="00DC6FEC"/>
    <w:rsid w:val="00DC72D3"/>
    <w:rsid w:val="00DC7E4A"/>
    <w:rsid w:val="00DD04F4"/>
    <w:rsid w:val="00DD0EFE"/>
    <w:rsid w:val="00DD2BAE"/>
    <w:rsid w:val="00DD5882"/>
    <w:rsid w:val="00DD5F50"/>
    <w:rsid w:val="00DD7D12"/>
    <w:rsid w:val="00DD7EEE"/>
    <w:rsid w:val="00DD7EF5"/>
    <w:rsid w:val="00DE1AE7"/>
    <w:rsid w:val="00DE27D9"/>
    <w:rsid w:val="00DE2D42"/>
    <w:rsid w:val="00DE634D"/>
    <w:rsid w:val="00DE6707"/>
    <w:rsid w:val="00DE6745"/>
    <w:rsid w:val="00DE71F1"/>
    <w:rsid w:val="00DF1CD5"/>
    <w:rsid w:val="00DF2BA8"/>
    <w:rsid w:val="00DF2EE5"/>
    <w:rsid w:val="00DF3B86"/>
    <w:rsid w:val="00DF4CDB"/>
    <w:rsid w:val="00DF5267"/>
    <w:rsid w:val="00DF6F2E"/>
    <w:rsid w:val="00DF7406"/>
    <w:rsid w:val="00DF758D"/>
    <w:rsid w:val="00DF7763"/>
    <w:rsid w:val="00DF7ECE"/>
    <w:rsid w:val="00E0010F"/>
    <w:rsid w:val="00E0190B"/>
    <w:rsid w:val="00E05EF3"/>
    <w:rsid w:val="00E10149"/>
    <w:rsid w:val="00E10187"/>
    <w:rsid w:val="00E10E02"/>
    <w:rsid w:val="00E11836"/>
    <w:rsid w:val="00E12290"/>
    <w:rsid w:val="00E1292A"/>
    <w:rsid w:val="00E15441"/>
    <w:rsid w:val="00E15864"/>
    <w:rsid w:val="00E17488"/>
    <w:rsid w:val="00E17A19"/>
    <w:rsid w:val="00E20E95"/>
    <w:rsid w:val="00E211CC"/>
    <w:rsid w:val="00E22598"/>
    <w:rsid w:val="00E22F23"/>
    <w:rsid w:val="00E31515"/>
    <w:rsid w:val="00E35D12"/>
    <w:rsid w:val="00E36FCB"/>
    <w:rsid w:val="00E3741C"/>
    <w:rsid w:val="00E37661"/>
    <w:rsid w:val="00E3781F"/>
    <w:rsid w:val="00E41C2D"/>
    <w:rsid w:val="00E45703"/>
    <w:rsid w:val="00E462E7"/>
    <w:rsid w:val="00E4688C"/>
    <w:rsid w:val="00E50A20"/>
    <w:rsid w:val="00E522E3"/>
    <w:rsid w:val="00E52C33"/>
    <w:rsid w:val="00E560C7"/>
    <w:rsid w:val="00E561BF"/>
    <w:rsid w:val="00E56BC9"/>
    <w:rsid w:val="00E56D8E"/>
    <w:rsid w:val="00E57B0D"/>
    <w:rsid w:val="00E60924"/>
    <w:rsid w:val="00E60C39"/>
    <w:rsid w:val="00E668BF"/>
    <w:rsid w:val="00E67D54"/>
    <w:rsid w:val="00E705A3"/>
    <w:rsid w:val="00E705B3"/>
    <w:rsid w:val="00E7239F"/>
    <w:rsid w:val="00E72456"/>
    <w:rsid w:val="00E73902"/>
    <w:rsid w:val="00E74804"/>
    <w:rsid w:val="00E7657B"/>
    <w:rsid w:val="00E779D9"/>
    <w:rsid w:val="00E80187"/>
    <w:rsid w:val="00E824FF"/>
    <w:rsid w:val="00E83EE7"/>
    <w:rsid w:val="00E84A43"/>
    <w:rsid w:val="00E84C4D"/>
    <w:rsid w:val="00E872F4"/>
    <w:rsid w:val="00E9026E"/>
    <w:rsid w:val="00E91031"/>
    <w:rsid w:val="00E92033"/>
    <w:rsid w:val="00E9374F"/>
    <w:rsid w:val="00E959E1"/>
    <w:rsid w:val="00E9737C"/>
    <w:rsid w:val="00E97DFA"/>
    <w:rsid w:val="00EA270F"/>
    <w:rsid w:val="00EA3612"/>
    <w:rsid w:val="00EA3DEA"/>
    <w:rsid w:val="00EA416D"/>
    <w:rsid w:val="00EA6EAB"/>
    <w:rsid w:val="00EA7E87"/>
    <w:rsid w:val="00EB076D"/>
    <w:rsid w:val="00EB0FE3"/>
    <w:rsid w:val="00EB1659"/>
    <w:rsid w:val="00EB2596"/>
    <w:rsid w:val="00EB2910"/>
    <w:rsid w:val="00EB46C2"/>
    <w:rsid w:val="00EB7117"/>
    <w:rsid w:val="00EC0D4A"/>
    <w:rsid w:val="00EC170E"/>
    <w:rsid w:val="00EC38E1"/>
    <w:rsid w:val="00EC4223"/>
    <w:rsid w:val="00EC59FB"/>
    <w:rsid w:val="00EC6737"/>
    <w:rsid w:val="00EC6BEE"/>
    <w:rsid w:val="00EC71E3"/>
    <w:rsid w:val="00EC7B9B"/>
    <w:rsid w:val="00ED01C2"/>
    <w:rsid w:val="00ED12CA"/>
    <w:rsid w:val="00ED15C1"/>
    <w:rsid w:val="00ED4D68"/>
    <w:rsid w:val="00ED5D3C"/>
    <w:rsid w:val="00ED5F18"/>
    <w:rsid w:val="00EE1705"/>
    <w:rsid w:val="00EE2451"/>
    <w:rsid w:val="00EE2813"/>
    <w:rsid w:val="00EE3649"/>
    <w:rsid w:val="00EE6944"/>
    <w:rsid w:val="00EE6EA6"/>
    <w:rsid w:val="00EE7299"/>
    <w:rsid w:val="00EF020E"/>
    <w:rsid w:val="00EF1003"/>
    <w:rsid w:val="00EF226D"/>
    <w:rsid w:val="00EF317E"/>
    <w:rsid w:val="00EF3BD1"/>
    <w:rsid w:val="00EF66F4"/>
    <w:rsid w:val="00EF6FE5"/>
    <w:rsid w:val="00F007CF"/>
    <w:rsid w:val="00F06D1C"/>
    <w:rsid w:val="00F07DBE"/>
    <w:rsid w:val="00F127B4"/>
    <w:rsid w:val="00F17B69"/>
    <w:rsid w:val="00F211ED"/>
    <w:rsid w:val="00F21444"/>
    <w:rsid w:val="00F221FB"/>
    <w:rsid w:val="00F24055"/>
    <w:rsid w:val="00F316B0"/>
    <w:rsid w:val="00F32356"/>
    <w:rsid w:val="00F32DF4"/>
    <w:rsid w:val="00F34170"/>
    <w:rsid w:val="00F36E6D"/>
    <w:rsid w:val="00F379D3"/>
    <w:rsid w:val="00F41105"/>
    <w:rsid w:val="00F422BB"/>
    <w:rsid w:val="00F42414"/>
    <w:rsid w:val="00F424A3"/>
    <w:rsid w:val="00F42950"/>
    <w:rsid w:val="00F42EC7"/>
    <w:rsid w:val="00F4527D"/>
    <w:rsid w:val="00F5078C"/>
    <w:rsid w:val="00F524F1"/>
    <w:rsid w:val="00F5328C"/>
    <w:rsid w:val="00F539B9"/>
    <w:rsid w:val="00F5467C"/>
    <w:rsid w:val="00F60406"/>
    <w:rsid w:val="00F608E4"/>
    <w:rsid w:val="00F60985"/>
    <w:rsid w:val="00F61490"/>
    <w:rsid w:val="00F618C2"/>
    <w:rsid w:val="00F61B86"/>
    <w:rsid w:val="00F62A4C"/>
    <w:rsid w:val="00F6322F"/>
    <w:rsid w:val="00F63812"/>
    <w:rsid w:val="00F64217"/>
    <w:rsid w:val="00F66FC7"/>
    <w:rsid w:val="00F67414"/>
    <w:rsid w:val="00F7048A"/>
    <w:rsid w:val="00F71E99"/>
    <w:rsid w:val="00F727D4"/>
    <w:rsid w:val="00F7351F"/>
    <w:rsid w:val="00F74A0A"/>
    <w:rsid w:val="00F76948"/>
    <w:rsid w:val="00F77889"/>
    <w:rsid w:val="00F82450"/>
    <w:rsid w:val="00F825E9"/>
    <w:rsid w:val="00F907DC"/>
    <w:rsid w:val="00F91522"/>
    <w:rsid w:val="00F91871"/>
    <w:rsid w:val="00F9275E"/>
    <w:rsid w:val="00F92C69"/>
    <w:rsid w:val="00F9596B"/>
    <w:rsid w:val="00F96CC7"/>
    <w:rsid w:val="00F97076"/>
    <w:rsid w:val="00FA020D"/>
    <w:rsid w:val="00FA2EE5"/>
    <w:rsid w:val="00FA38B0"/>
    <w:rsid w:val="00FA4876"/>
    <w:rsid w:val="00FA5FBE"/>
    <w:rsid w:val="00FA799C"/>
    <w:rsid w:val="00FA7CA5"/>
    <w:rsid w:val="00FB2873"/>
    <w:rsid w:val="00FB28FE"/>
    <w:rsid w:val="00FB2E33"/>
    <w:rsid w:val="00FB2E3C"/>
    <w:rsid w:val="00FB3023"/>
    <w:rsid w:val="00FB30E1"/>
    <w:rsid w:val="00FB3560"/>
    <w:rsid w:val="00FB4051"/>
    <w:rsid w:val="00FB6427"/>
    <w:rsid w:val="00FB785F"/>
    <w:rsid w:val="00FB7C7D"/>
    <w:rsid w:val="00FC0AE4"/>
    <w:rsid w:val="00FC23EE"/>
    <w:rsid w:val="00FC37E8"/>
    <w:rsid w:val="00FC6AB6"/>
    <w:rsid w:val="00FD07FB"/>
    <w:rsid w:val="00FD1330"/>
    <w:rsid w:val="00FD27EC"/>
    <w:rsid w:val="00FD343C"/>
    <w:rsid w:val="00FD3DAB"/>
    <w:rsid w:val="00FD7B33"/>
    <w:rsid w:val="00FE1660"/>
    <w:rsid w:val="00FE1722"/>
    <w:rsid w:val="00FE33A8"/>
    <w:rsid w:val="00FE4E82"/>
    <w:rsid w:val="00FE5382"/>
    <w:rsid w:val="00FE595B"/>
    <w:rsid w:val="00FE755C"/>
    <w:rsid w:val="00FF1220"/>
    <w:rsid w:val="00FF2512"/>
    <w:rsid w:val="00FF3F1E"/>
    <w:rsid w:val="00FF48AA"/>
    <w:rsid w:val="00FF4B1F"/>
    <w:rsid w:val="00FF5473"/>
    <w:rsid w:val="00FF6A7F"/>
    <w:rsid w:val="00FF7897"/>
    <w:rsid w:val="00FF794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4EFD5"/>
  <w15:docId w15:val="{B1A8C832-5455-49F6-B1B1-884C9867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Heading 10,Body of text,skripsi,Body Text Char1,Char Char2,List Paragraph2,List Paragraph1,spasi 2 taiiii,List Paragraph11,List Paragraph111"/>
    <w:basedOn w:val="Normal"/>
    <w:link w:val="ListParagraphChar"/>
    <w:uiPriority w:val="34"/>
    <w:qFormat/>
    <w:rsid w:val="00ED7E67"/>
    <w:pPr>
      <w:ind w:left="720"/>
      <w:contextualSpacing/>
    </w:pPr>
  </w:style>
  <w:style w:type="paragraph" w:styleId="BodyText">
    <w:name w:val="Body Text"/>
    <w:basedOn w:val="Normal"/>
    <w:link w:val="BodyTextChar"/>
    <w:uiPriority w:val="99"/>
    <w:semiHidden/>
    <w:unhideWhenUsed/>
    <w:rsid w:val="00336316"/>
    <w:pPr>
      <w:spacing w:after="120"/>
    </w:pPr>
  </w:style>
  <w:style w:type="character" w:customStyle="1" w:styleId="BodyTextChar">
    <w:name w:val="Body Text Char"/>
    <w:basedOn w:val="DefaultParagraphFont"/>
    <w:link w:val="BodyText"/>
    <w:uiPriority w:val="99"/>
    <w:semiHidden/>
    <w:rsid w:val="00336316"/>
  </w:style>
  <w:style w:type="paragraph" w:styleId="BalloonText">
    <w:name w:val="Balloon Text"/>
    <w:basedOn w:val="Normal"/>
    <w:link w:val="BalloonTextChar"/>
    <w:uiPriority w:val="99"/>
    <w:semiHidden/>
    <w:unhideWhenUsed/>
    <w:rsid w:val="00893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098"/>
    <w:rPr>
      <w:rFonts w:ascii="Tahoma" w:hAnsi="Tahoma" w:cs="Tahoma"/>
      <w:sz w:val="16"/>
      <w:szCs w:val="16"/>
    </w:rPr>
  </w:style>
  <w:style w:type="paragraph" w:styleId="Header">
    <w:name w:val="header"/>
    <w:basedOn w:val="Normal"/>
    <w:link w:val="HeaderChar"/>
    <w:uiPriority w:val="99"/>
    <w:unhideWhenUsed/>
    <w:rsid w:val="00893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098"/>
  </w:style>
  <w:style w:type="paragraph" w:styleId="Footer">
    <w:name w:val="footer"/>
    <w:basedOn w:val="Normal"/>
    <w:link w:val="FooterChar"/>
    <w:uiPriority w:val="99"/>
    <w:unhideWhenUsed/>
    <w:rsid w:val="00893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098"/>
  </w:style>
  <w:style w:type="character" w:styleId="PlaceholderText">
    <w:name w:val="Placeholder Text"/>
    <w:basedOn w:val="DefaultParagraphFont"/>
    <w:uiPriority w:val="99"/>
    <w:semiHidden/>
    <w:rsid w:val="009066D1"/>
    <w:rPr>
      <w:color w:val="808080"/>
    </w:rPr>
  </w:style>
  <w:style w:type="table" w:styleId="TableGrid">
    <w:name w:val="Table Grid"/>
    <w:basedOn w:val="TableNormal"/>
    <w:uiPriority w:val="39"/>
    <w:rsid w:val="00632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5F90"/>
    <w:rPr>
      <w:sz w:val="16"/>
      <w:szCs w:val="16"/>
    </w:rPr>
  </w:style>
  <w:style w:type="paragraph" w:styleId="CommentText">
    <w:name w:val="annotation text"/>
    <w:basedOn w:val="Normal"/>
    <w:link w:val="CommentTextChar"/>
    <w:uiPriority w:val="99"/>
    <w:semiHidden/>
    <w:unhideWhenUsed/>
    <w:rsid w:val="00535F90"/>
    <w:pPr>
      <w:spacing w:line="240" w:lineRule="auto"/>
    </w:pPr>
    <w:rPr>
      <w:sz w:val="20"/>
      <w:szCs w:val="20"/>
    </w:rPr>
  </w:style>
  <w:style w:type="character" w:customStyle="1" w:styleId="CommentTextChar">
    <w:name w:val="Comment Text Char"/>
    <w:basedOn w:val="DefaultParagraphFont"/>
    <w:link w:val="CommentText"/>
    <w:uiPriority w:val="99"/>
    <w:semiHidden/>
    <w:rsid w:val="00535F90"/>
    <w:rPr>
      <w:sz w:val="20"/>
      <w:szCs w:val="20"/>
    </w:rPr>
  </w:style>
  <w:style w:type="paragraph" w:styleId="CommentSubject">
    <w:name w:val="annotation subject"/>
    <w:basedOn w:val="CommentText"/>
    <w:next w:val="CommentText"/>
    <w:link w:val="CommentSubjectChar"/>
    <w:uiPriority w:val="99"/>
    <w:semiHidden/>
    <w:unhideWhenUsed/>
    <w:rsid w:val="00535F90"/>
    <w:rPr>
      <w:b/>
      <w:bCs/>
    </w:rPr>
  </w:style>
  <w:style w:type="character" w:customStyle="1" w:styleId="CommentSubjectChar">
    <w:name w:val="Comment Subject Char"/>
    <w:basedOn w:val="CommentTextChar"/>
    <w:link w:val="CommentSubject"/>
    <w:uiPriority w:val="99"/>
    <w:semiHidden/>
    <w:rsid w:val="00535F90"/>
    <w:rPr>
      <w:b/>
      <w:bCs/>
      <w:sz w:val="20"/>
      <w:szCs w:val="20"/>
    </w:rPr>
  </w:style>
  <w:style w:type="character" w:styleId="Hyperlink">
    <w:name w:val="Hyperlink"/>
    <w:basedOn w:val="DefaultParagraphFont"/>
    <w:uiPriority w:val="99"/>
    <w:unhideWhenUsed/>
    <w:rsid w:val="00C63C73"/>
    <w:rPr>
      <w:color w:val="0563C1" w:themeColor="hyperlink"/>
      <w:u w:val="single"/>
    </w:rPr>
  </w:style>
  <w:style w:type="paragraph" w:customStyle="1" w:styleId="EndNoteBibliography">
    <w:name w:val="EndNote Bibliography"/>
    <w:basedOn w:val="Normal"/>
    <w:link w:val="EndNoteBibliographyChar"/>
    <w:rsid w:val="009854A8"/>
    <w:pPr>
      <w:spacing w:after="200" w:line="240" w:lineRule="auto"/>
    </w:pPr>
    <w:rPr>
      <w:noProof/>
    </w:rPr>
  </w:style>
  <w:style w:type="character" w:customStyle="1" w:styleId="EndNoteBibliographyChar">
    <w:name w:val="EndNote Bibliography Char"/>
    <w:link w:val="EndNoteBibliography"/>
    <w:rsid w:val="009854A8"/>
    <w:rPr>
      <w:rFonts w:ascii="Calibri" w:eastAsia="Calibri" w:hAnsi="Calibri" w:cs="Calibri"/>
      <w:noProof/>
    </w:rPr>
  </w:style>
  <w:style w:type="character" w:customStyle="1" w:styleId="UnresolvedMention1">
    <w:name w:val="Unresolved Mention1"/>
    <w:basedOn w:val="DefaultParagraphFont"/>
    <w:uiPriority w:val="99"/>
    <w:semiHidden/>
    <w:unhideWhenUsed/>
    <w:rsid w:val="007D6B7D"/>
    <w:rPr>
      <w:color w:val="605E5C"/>
      <w:shd w:val="clear" w:color="auto" w:fill="E1DFDD"/>
    </w:rPr>
  </w:style>
  <w:style w:type="character" w:customStyle="1" w:styleId="UnresolvedMention2">
    <w:name w:val="Unresolved Mention2"/>
    <w:basedOn w:val="DefaultParagraphFont"/>
    <w:uiPriority w:val="99"/>
    <w:semiHidden/>
    <w:unhideWhenUsed/>
    <w:rsid w:val="00F60F9B"/>
    <w:rPr>
      <w:color w:val="605E5C"/>
      <w:shd w:val="clear" w:color="auto" w:fill="E1DFDD"/>
    </w:rPr>
  </w:style>
  <w:style w:type="character" w:customStyle="1" w:styleId="SebutanYangBelumTerselesaikan1">
    <w:name w:val="Sebutan Yang Belum Terselesaikan1"/>
    <w:basedOn w:val="DefaultParagraphFont"/>
    <w:uiPriority w:val="99"/>
    <w:semiHidden/>
    <w:unhideWhenUsed/>
    <w:rsid w:val="00F60F9B"/>
    <w:rPr>
      <w:color w:val="605E5C"/>
      <w:shd w:val="clear" w:color="auto" w:fill="E1DFDD"/>
    </w:rPr>
  </w:style>
  <w:style w:type="character" w:customStyle="1" w:styleId="UnresolvedMention3">
    <w:name w:val="Unresolved Mention3"/>
    <w:basedOn w:val="DefaultParagraphFont"/>
    <w:uiPriority w:val="99"/>
    <w:semiHidden/>
    <w:unhideWhenUsed/>
    <w:rsid w:val="00733B93"/>
    <w:rPr>
      <w:color w:val="605E5C"/>
      <w:shd w:val="clear" w:color="auto" w:fill="E1DFDD"/>
    </w:rPr>
  </w:style>
  <w:style w:type="paragraph" w:styleId="NormalWeb">
    <w:name w:val="Normal (Web)"/>
    <w:basedOn w:val="Normal"/>
    <w:uiPriority w:val="99"/>
    <w:semiHidden/>
    <w:unhideWhenUsed/>
    <w:rsid w:val="00733B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A47203"/>
    <w:pPr>
      <w:spacing w:after="0"/>
      <w:jc w:val="center"/>
    </w:pPr>
    <w:rPr>
      <w:noProof/>
    </w:rPr>
  </w:style>
  <w:style w:type="character" w:customStyle="1" w:styleId="EndNoteBibliographyTitleChar">
    <w:name w:val="EndNote Bibliography Title Char"/>
    <w:basedOn w:val="DefaultParagraphFont"/>
    <w:link w:val="EndNoteBibliographyTitle"/>
    <w:rsid w:val="00A47203"/>
    <w:rPr>
      <w:rFonts w:ascii="Calibri" w:hAnsi="Calibri" w:cs="Calibri"/>
      <w:noProo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paragraph" w:styleId="Caption">
    <w:name w:val="caption"/>
    <w:basedOn w:val="Normal"/>
    <w:next w:val="Normal"/>
    <w:uiPriority w:val="35"/>
    <w:unhideWhenUsed/>
    <w:qFormat/>
    <w:rsid w:val="001C169A"/>
    <w:pPr>
      <w:spacing w:after="200" w:line="240" w:lineRule="auto"/>
    </w:pPr>
    <w:rPr>
      <w:i/>
      <w:iCs/>
      <w:color w:val="44546A" w:themeColor="text2"/>
      <w:sz w:val="18"/>
      <w:szCs w:val="18"/>
    </w:rPr>
  </w:style>
  <w:style w:type="character" w:customStyle="1" w:styleId="fontstyle01">
    <w:name w:val="fontstyle01"/>
    <w:basedOn w:val="DefaultParagraphFont"/>
    <w:rsid w:val="007151E8"/>
    <w:rPr>
      <w:rFonts w:ascii="AdvOT8cb2ddbd" w:hAnsi="AdvOT8cb2ddbd" w:hint="default"/>
      <w:b w:val="0"/>
      <w:bCs w:val="0"/>
      <w:i w:val="0"/>
      <w:iCs w:val="0"/>
      <w:color w:val="000000"/>
      <w:sz w:val="20"/>
      <w:szCs w:val="20"/>
    </w:rPr>
  </w:style>
  <w:style w:type="character" w:customStyle="1" w:styleId="ListParagraphChar">
    <w:name w:val="List Paragraph Char"/>
    <w:aliases w:val="Heading 10 Char,Body of text Char,skripsi Char,Body Text Char1 Char,Char Char2 Char,List Paragraph2 Char,List Paragraph1 Char,spasi 2 taiiii Char,List Paragraph11 Char,List Paragraph111 Char"/>
    <w:link w:val="ListParagraph"/>
    <w:uiPriority w:val="34"/>
    <w:qFormat/>
    <w:locked/>
    <w:rsid w:val="00FA2EE5"/>
  </w:style>
  <w:style w:type="character" w:styleId="UnresolvedMention">
    <w:name w:val="Unresolved Mention"/>
    <w:basedOn w:val="DefaultParagraphFont"/>
    <w:uiPriority w:val="99"/>
    <w:semiHidden/>
    <w:unhideWhenUsed/>
    <w:rsid w:val="00FB4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wipuji.ratnawati@umk.ac.i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vita.yuliana@umk.ac.id3" TargetMode="Externa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yperlink" Target="mailto:Triana.hasty@umk.ac.id4"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aulana.fajar@umk.ac.id"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D:\DOSEN%20MAULANA%20FAJAR\Jurnal%20Artikel%20Pertama\Data%20Bar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OSEN%20MAULANA%20FAJAR\Jurnal%20Artikel%20Pertama\Data%20Baru.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OSEN%20MAULANA%20FAJAR\Jurnal%20Artikel%20Pertama\Data%20Baru.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Rata - Rata Pembiayaan Mudharabah 2017 - 2022 (Miliar Rupiah)</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Sheet1!$Q$3</c:f>
              <c:strCache>
                <c:ptCount val="1"/>
                <c:pt idx="0">
                  <c:v>Rata - Rata Pembiayaan Mudharabah</c:v>
                </c:pt>
              </c:strCache>
            </c:strRef>
          </c:tx>
          <c:spPr>
            <a:ln w="28575" cap="rnd">
              <a:solidFill>
                <a:schemeClr val="accent4">
                  <a:shade val="76000"/>
                </a:schemeClr>
              </a:solidFill>
              <a:round/>
            </a:ln>
            <a:effectLst/>
          </c:spPr>
          <c:marker>
            <c:symbol val="circle"/>
            <c:size val="5"/>
            <c:spPr>
              <a:solidFill>
                <a:schemeClr val="accent4">
                  <a:shade val="76000"/>
                </a:schemeClr>
              </a:solidFill>
              <a:ln w="9525">
                <a:solidFill>
                  <a:schemeClr val="accent4">
                    <a:shade val="76000"/>
                  </a:schemeClr>
                </a:solidFill>
              </a:ln>
              <a:effectLst/>
            </c:spPr>
          </c:marker>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Sheet1!$R$4:$R$10</c:f>
              <c:numCache>
                <c:formatCode>General</c:formatCode>
                <c:ptCount val="7"/>
                <c:pt idx="0">
                  <c:v>2017</c:v>
                </c:pt>
                <c:pt idx="1">
                  <c:v>2018</c:v>
                </c:pt>
                <c:pt idx="2">
                  <c:v>2019</c:v>
                </c:pt>
                <c:pt idx="3">
                  <c:v>2020</c:v>
                </c:pt>
                <c:pt idx="4">
                  <c:v>2021</c:v>
                </c:pt>
                <c:pt idx="5">
                  <c:v>2022</c:v>
                </c:pt>
              </c:numCache>
            </c:numRef>
          </c:cat>
          <c:val>
            <c:numRef>
              <c:f>Sheet1!$Q$4:$Q$10</c:f>
              <c:numCache>
                <c:formatCode>0</c:formatCode>
                <c:ptCount val="7"/>
                <c:pt idx="0">
                  <c:v>15984.283112001</c:v>
                </c:pt>
                <c:pt idx="1">
                  <c:v>14939.67821493</c:v>
                </c:pt>
                <c:pt idx="2">
                  <c:v>13175.811240108998</c:v>
                </c:pt>
                <c:pt idx="3">
                  <c:v>11442.931775900666</c:v>
                </c:pt>
                <c:pt idx="4">
                  <c:v>10131.091592684666</c:v>
                </c:pt>
                <c:pt idx="5">
                  <c:v>9904.0066604263338</c:v>
                </c:pt>
              </c:numCache>
            </c:numRef>
          </c:val>
          <c:smooth val="0"/>
          <c:extLst>
            <c:ext xmlns:c16="http://schemas.microsoft.com/office/drawing/2014/chart" uri="{C3380CC4-5D6E-409C-BE32-E72D297353CC}">
              <c16:uniqueId val="{00000000-BA4B-4061-8F8C-62A416FFF762}"/>
            </c:ext>
          </c:extLst>
        </c:ser>
        <c:dLbls>
          <c:dLblPos val="t"/>
          <c:showLegendKey val="0"/>
          <c:showVal val="1"/>
          <c:showCatName val="0"/>
          <c:showSerName val="0"/>
          <c:showPercent val="0"/>
          <c:showBubbleSize val="0"/>
        </c:dLbls>
        <c:marker val="1"/>
        <c:smooth val="0"/>
        <c:axId val="767691343"/>
        <c:axId val="760690623"/>
        <c:extLst>
          <c:ext xmlns:c15="http://schemas.microsoft.com/office/drawing/2012/chart" uri="{02D57815-91ED-43cb-92C2-25804820EDAC}">
            <c15:filteredLineSeries>
              <c15:ser>
                <c:idx val="1"/>
                <c:order val="1"/>
                <c:tx>
                  <c:strRef>
                    <c:extLst>
                      <c:ext uri="{02D57815-91ED-43cb-92C2-25804820EDAC}">
                        <c15:formulaRef>
                          <c15:sqref>Sheet1!$R$3</c15:sqref>
                        </c15:formulaRef>
                      </c:ext>
                    </c:extLst>
                    <c:strCache>
                      <c:ptCount val="1"/>
                      <c:pt idx="0">
                        <c:v>Tahun</c:v>
                      </c:pt>
                    </c:strCache>
                  </c:strRef>
                </c:tx>
                <c:spPr>
                  <a:ln w="28575" cap="rnd">
                    <a:solidFill>
                      <a:schemeClr val="accent4">
                        <a:tint val="77000"/>
                      </a:schemeClr>
                    </a:solidFill>
                    <a:round/>
                  </a:ln>
                  <a:effectLst/>
                </c:spPr>
                <c:marker>
                  <c:symbol val="circle"/>
                  <c:size val="5"/>
                  <c:spPr>
                    <a:solidFill>
                      <a:schemeClr val="accent4">
                        <a:tint val="77000"/>
                      </a:schemeClr>
                    </a:solidFill>
                    <a:ln w="9525">
                      <a:solidFill>
                        <a:schemeClr val="accent4">
                          <a:tint val="77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Sheet1!$R$4:$R$10</c15:sqref>
                        </c15:formulaRef>
                      </c:ext>
                    </c:extLst>
                    <c:numCache>
                      <c:formatCode>General</c:formatCode>
                      <c:ptCount val="7"/>
                      <c:pt idx="0">
                        <c:v>2017</c:v>
                      </c:pt>
                      <c:pt idx="1">
                        <c:v>2018</c:v>
                      </c:pt>
                      <c:pt idx="2">
                        <c:v>2019</c:v>
                      </c:pt>
                      <c:pt idx="3">
                        <c:v>2020</c:v>
                      </c:pt>
                      <c:pt idx="4">
                        <c:v>2021</c:v>
                      </c:pt>
                      <c:pt idx="5">
                        <c:v>2022</c:v>
                      </c:pt>
                    </c:numCache>
                  </c:numRef>
                </c:cat>
                <c:val>
                  <c:numRef>
                    <c:extLst>
                      <c:ext uri="{02D57815-91ED-43cb-92C2-25804820EDAC}">
                        <c15:formulaRef>
                          <c15:sqref>Sheet1!$R$4:$R$10</c15:sqref>
                        </c15:formulaRef>
                      </c:ext>
                    </c:extLst>
                    <c:numCache>
                      <c:formatCode>General</c:formatCode>
                      <c:ptCount val="7"/>
                      <c:pt idx="0">
                        <c:v>2017</c:v>
                      </c:pt>
                      <c:pt idx="1">
                        <c:v>2018</c:v>
                      </c:pt>
                      <c:pt idx="2">
                        <c:v>2019</c:v>
                      </c:pt>
                      <c:pt idx="3">
                        <c:v>2020</c:v>
                      </c:pt>
                      <c:pt idx="4">
                        <c:v>2021</c:v>
                      </c:pt>
                      <c:pt idx="5">
                        <c:v>2022</c:v>
                      </c:pt>
                    </c:numCache>
                  </c:numRef>
                </c:val>
                <c:smooth val="0"/>
                <c:extLst>
                  <c:ext xmlns:c16="http://schemas.microsoft.com/office/drawing/2014/chart" uri="{C3380CC4-5D6E-409C-BE32-E72D297353CC}">
                    <c16:uniqueId val="{00000001-BA4B-4061-8F8C-62A416FFF762}"/>
                  </c:ext>
                </c:extLst>
              </c15:ser>
            </c15:filteredLineSeries>
          </c:ext>
        </c:extLst>
      </c:lineChart>
      <c:catAx>
        <c:axId val="767691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60690623"/>
        <c:crosses val="autoZero"/>
        <c:auto val="1"/>
        <c:lblAlgn val="ctr"/>
        <c:lblOffset val="100"/>
        <c:noMultiLvlLbl val="0"/>
      </c:catAx>
      <c:valAx>
        <c:axId val="760690623"/>
        <c:scaling>
          <c:orientation val="minMax"/>
          <c:min val="8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676913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Rata - Rata Pembiayaan Musyarakah 2017 - 2022 (Miliar Rupiah)</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Sheet1!$Q$26</c:f>
              <c:strCache>
                <c:ptCount val="1"/>
                <c:pt idx="0">
                  <c:v>Rata - Rata Pembiayaan Musyarakah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Sheet1!$R$27:$R$33</c:f>
              <c:numCache>
                <c:formatCode>General</c:formatCode>
                <c:ptCount val="7"/>
                <c:pt idx="0">
                  <c:v>2017</c:v>
                </c:pt>
                <c:pt idx="1">
                  <c:v>2018</c:v>
                </c:pt>
                <c:pt idx="2">
                  <c:v>2019</c:v>
                </c:pt>
                <c:pt idx="3">
                  <c:v>2020</c:v>
                </c:pt>
                <c:pt idx="4">
                  <c:v>2021</c:v>
                </c:pt>
                <c:pt idx="5">
                  <c:v>2022</c:v>
                </c:pt>
              </c:numCache>
            </c:numRef>
          </c:cat>
          <c:val>
            <c:numRef>
              <c:f>Sheet1!$Q$27:$Q$33</c:f>
              <c:numCache>
                <c:formatCode>0</c:formatCode>
                <c:ptCount val="7"/>
                <c:pt idx="0">
                  <c:v>95096.837811425998</c:v>
                </c:pt>
                <c:pt idx="1">
                  <c:v>121914.011114565</c:v>
                </c:pt>
                <c:pt idx="2">
                  <c:v>150521.633026197</c:v>
                </c:pt>
                <c:pt idx="3">
                  <c:v>158657.11982946366</c:v>
                </c:pt>
                <c:pt idx="4">
                  <c:v>170319.19244843783</c:v>
                </c:pt>
                <c:pt idx="5">
                  <c:v>193614.87857204548</c:v>
                </c:pt>
              </c:numCache>
            </c:numRef>
          </c:val>
          <c:smooth val="0"/>
          <c:extLst>
            <c:ext xmlns:c16="http://schemas.microsoft.com/office/drawing/2014/chart" uri="{C3380CC4-5D6E-409C-BE32-E72D297353CC}">
              <c16:uniqueId val="{00000000-4A69-4F9B-B6C1-C1B2AD4F435C}"/>
            </c:ext>
          </c:extLst>
        </c:ser>
        <c:dLbls>
          <c:dLblPos val="t"/>
          <c:showLegendKey val="0"/>
          <c:showVal val="1"/>
          <c:showCatName val="0"/>
          <c:showSerName val="0"/>
          <c:showPercent val="0"/>
          <c:showBubbleSize val="0"/>
        </c:dLbls>
        <c:marker val="1"/>
        <c:smooth val="0"/>
        <c:axId val="419361535"/>
        <c:axId val="760743695"/>
        <c:extLst>
          <c:ext xmlns:c15="http://schemas.microsoft.com/office/drawing/2012/chart" uri="{02D57815-91ED-43cb-92C2-25804820EDAC}">
            <c15:filteredLineSeries>
              <c15:ser>
                <c:idx val="1"/>
                <c:order val="1"/>
                <c:tx>
                  <c:strRef>
                    <c:extLst>
                      <c:ext uri="{02D57815-91ED-43cb-92C2-25804820EDAC}">
                        <c15:formulaRef>
                          <c15:sqref>Sheet1!$R$26</c15:sqref>
                        </c15:formulaRef>
                      </c:ext>
                    </c:extLst>
                    <c:strCache>
                      <c:ptCount val="1"/>
                      <c:pt idx="0">
                        <c:v>Tahun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Sheet1!$R$27:$R$33</c15:sqref>
                        </c15:formulaRef>
                      </c:ext>
                    </c:extLst>
                    <c:numCache>
                      <c:formatCode>General</c:formatCode>
                      <c:ptCount val="7"/>
                      <c:pt idx="0">
                        <c:v>2017</c:v>
                      </c:pt>
                      <c:pt idx="1">
                        <c:v>2018</c:v>
                      </c:pt>
                      <c:pt idx="2">
                        <c:v>2019</c:v>
                      </c:pt>
                      <c:pt idx="3">
                        <c:v>2020</c:v>
                      </c:pt>
                      <c:pt idx="4">
                        <c:v>2021</c:v>
                      </c:pt>
                      <c:pt idx="5">
                        <c:v>2022</c:v>
                      </c:pt>
                    </c:numCache>
                  </c:numRef>
                </c:cat>
                <c:val>
                  <c:numRef>
                    <c:extLst>
                      <c:ext uri="{02D57815-91ED-43cb-92C2-25804820EDAC}">
                        <c15:formulaRef>
                          <c15:sqref>Sheet1!$R$27:$R$33</c15:sqref>
                        </c15:formulaRef>
                      </c:ext>
                    </c:extLst>
                    <c:numCache>
                      <c:formatCode>General</c:formatCode>
                      <c:ptCount val="7"/>
                      <c:pt idx="0">
                        <c:v>2017</c:v>
                      </c:pt>
                      <c:pt idx="1">
                        <c:v>2018</c:v>
                      </c:pt>
                      <c:pt idx="2">
                        <c:v>2019</c:v>
                      </c:pt>
                      <c:pt idx="3">
                        <c:v>2020</c:v>
                      </c:pt>
                      <c:pt idx="4">
                        <c:v>2021</c:v>
                      </c:pt>
                      <c:pt idx="5">
                        <c:v>2022</c:v>
                      </c:pt>
                    </c:numCache>
                  </c:numRef>
                </c:val>
                <c:smooth val="0"/>
                <c:extLst>
                  <c:ext xmlns:c16="http://schemas.microsoft.com/office/drawing/2014/chart" uri="{C3380CC4-5D6E-409C-BE32-E72D297353CC}">
                    <c16:uniqueId val="{00000001-4A69-4F9B-B6C1-C1B2AD4F435C}"/>
                  </c:ext>
                </c:extLst>
              </c15:ser>
            </c15:filteredLineSeries>
          </c:ext>
        </c:extLst>
      </c:lineChart>
      <c:catAx>
        <c:axId val="419361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60743695"/>
        <c:crosses val="autoZero"/>
        <c:auto val="1"/>
        <c:lblAlgn val="ctr"/>
        <c:lblOffset val="100"/>
        <c:noMultiLvlLbl val="0"/>
      </c:catAx>
      <c:valAx>
        <c:axId val="760743695"/>
        <c:scaling>
          <c:orientation val="minMax"/>
          <c:min val="9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193615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Nilai ROA Perbankan Syariah 2017 - 2022 (Persentase) </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Sheet1!$Q$46</c:f>
              <c:strCache>
                <c:ptCount val="1"/>
                <c:pt idx="0">
                  <c:v>ROA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Sheet1!$R$47:$R$53</c:f>
              <c:numCache>
                <c:formatCode>General</c:formatCode>
                <c:ptCount val="7"/>
                <c:pt idx="0">
                  <c:v>2017</c:v>
                </c:pt>
                <c:pt idx="1">
                  <c:v>2018</c:v>
                </c:pt>
                <c:pt idx="2">
                  <c:v>2019</c:v>
                </c:pt>
                <c:pt idx="3">
                  <c:v>2020</c:v>
                </c:pt>
                <c:pt idx="4">
                  <c:v>2021</c:v>
                </c:pt>
                <c:pt idx="5">
                  <c:v>2022</c:v>
                </c:pt>
              </c:numCache>
            </c:numRef>
          </c:cat>
          <c:val>
            <c:numRef>
              <c:f>Sheet1!$Q$47:$Q$53</c:f>
              <c:numCache>
                <c:formatCode>0.00</c:formatCode>
                <c:ptCount val="7"/>
                <c:pt idx="0">
                  <c:v>2.4700000000000002</c:v>
                </c:pt>
                <c:pt idx="1">
                  <c:v>1.18</c:v>
                </c:pt>
                <c:pt idx="2">
                  <c:v>1.73</c:v>
                </c:pt>
                <c:pt idx="3">
                  <c:v>1.4</c:v>
                </c:pt>
                <c:pt idx="4">
                  <c:v>1.55</c:v>
                </c:pt>
                <c:pt idx="5">
                  <c:v>2.02</c:v>
                </c:pt>
              </c:numCache>
            </c:numRef>
          </c:val>
          <c:smooth val="0"/>
          <c:extLst>
            <c:ext xmlns:c16="http://schemas.microsoft.com/office/drawing/2014/chart" uri="{C3380CC4-5D6E-409C-BE32-E72D297353CC}">
              <c16:uniqueId val="{00000000-648E-4C71-AE35-7A6E8748732C}"/>
            </c:ext>
          </c:extLst>
        </c:ser>
        <c:dLbls>
          <c:dLblPos val="t"/>
          <c:showLegendKey val="0"/>
          <c:showVal val="1"/>
          <c:showCatName val="0"/>
          <c:showSerName val="0"/>
          <c:showPercent val="0"/>
          <c:showBubbleSize val="0"/>
        </c:dLbls>
        <c:marker val="1"/>
        <c:smooth val="0"/>
        <c:axId val="704911759"/>
        <c:axId val="1076236127"/>
        <c:extLst>
          <c:ext xmlns:c15="http://schemas.microsoft.com/office/drawing/2012/chart" uri="{02D57815-91ED-43cb-92C2-25804820EDAC}">
            <c15:filteredLineSeries>
              <c15:ser>
                <c:idx val="1"/>
                <c:order val="1"/>
                <c:tx>
                  <c:strRef>
                    <c:extLst>
                      <c:ext uri="{02D57815-91ED-43cb-92C2-25804820EDAC}">
                        <c15:formulaRef>
                          <c15:sqref>Sheet1!$R$46</c15:sqref>
                        </c15:formulaRef>
                      </c:ext>
                    </c:extLst>
                    <c:strCache>
                      <c:ptCount val="1"/>
                      <c:pt idx="0">
                        <c:v>Tahun</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Sheet1!$R$47:$R$53</c15:sqref>
                        </c15:formulaRef>
                      </c:ext>
                    </c:extLst>
                    <c:numCache>
                      <c:formatCode>General</c:formatCode>
                      <c:ptCount val="7"/>
                      <c:pt idx="0">
                        <c:v>2017</c:v>
                      </c:pt>
                      <c:pt idx="1">
                        <c:v>2018</c:v>
                      </c:pt>
                      <c:pt idx="2">
                        <c:v>2019</c:v>
                      </c:pt>
                      <c:pt idx="3">
                        <c:v>2020</c:v>
                      </c:pt>
                      <c:pt idx="4">
                        <c:v>2021</c:v>
                      </c:pt>
                      <c:pt idx="5">
                        <c:v>2022</c:v>
                      </c:pt>
                    </c:numCache>
                  </c:numRef>
                </c:cat>
                <c:val>
                  <c:numRef>
                    <c:extLst>
                      <c:ext uri="{02D57815-91ED-43cb-92C2-25804820EDAC}">
                        <c15:formulaRef>
                          <c15:sqref>Sheet1!$R$47:$R$53</c15:sqref>
                        </c15:formulaRef>
                      </c:ext>
                    </c:extLst>
                    <c:numCache>
                      <c:formatCode>General</c:formatCode>
                      <c:ptCount val="7"/>
                      <c:pt idx="0">
                        <c:v>2017</c:v>
                      </c:pt>
                      <c:pt idx="1">
                        <c:v>2018</c:v>
                      </c:pt>
                      <c:pt idx="2">
                        <c:v>2019</c:v>
                      </c:pt>
                      <c:pt idx="3">
                        <c:v>2020</c:v>
                      </c:pt>
                      <c:pt idx="4">
                        <c:v>2021</c:v>
                      </c:pt>
                      <c:pt idx="5">
                        <c:v>2022</c:v>
                      </c:pt>
                    </c:numCache>
                  </c:numRef>
                </c:val>
                <c:smooth val="0"/>
                <c:extLst>
                  <c:ext xmlns:c16="http://schemas.microsoft.com/office/drawing/2014/chart" uri="{C3380CC4-5D6E-409C-BE32-E72D297353CC}">
                    <c16:uniqueId val="{00000001-648E-4C71-AE35-7A6E8748732C}"/>
                  </c:ext>
                </c:extLst>
              </c15:ser>
            </c15:filteredLineSeries>
          </c:ext>
        </c:extLst>
      </c:lineChart>
      <c:catAx>
        <c:axId val="704911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76236127"/>
        <c:crosses val="autoZero"/>
        <c:auto val="1"/>
        <c:lblAlgn val="ctr"/>
        <c:lblOffset val="100"/>
        <c:noMultiLvlLbl val="0"/>
      </c:catAx>
      <c:valAx>
        <c:axId val="1076236127"/>
        <c:scaling>
          <c:orientation val="minMax"/>
          <c:max val="3"/>
          <c:min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04911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fkAOaFcZnkJ4DorizsA7AzkHWg==">CgMxLjAyCWguMzBqMHpsbDIIaC5namRneHM4AHIhMVY1SjZFMmRfN3hRTHQxa0NvZ3FKbkxRU0hlR0duMFRT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17BB53-4556-4546-8D91-9E348BD8A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20329</Words>
  <Characters>115880</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Etni</dc:creator>
  <cp:lastModifiedBy>Nur Maziyah Ulya Nurma</cp:lastModifiedBy>
  <cp:revision>12</cp:revision>
  <dcterms:created xsi:type="dcterms:W3CDTF">2024-02-26T06:30:00Z</dcterms:created>
  <dcterms:modified xsi:type="dcterms:W3CDTF">2024-02-27T06:57:00Z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http://www.zotero.org/styles/university-of-gothenburg-apa-7th-edition-swedish-legislations</vt:lpwstr>
  </property>
  <property fmtid="{D5CDD505-2E9C-101B-9397-08002B2CF9AE}" pid="19" name="Mendeley Recent Style Name 8_1">
    <vt:lpwstr>University of Gothenburg - APA 7th edition (Swedish legislations)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46e38833-39e5-3448-9a39-2a983237bced</vt:lpwstr>
  </property>
  <property fmtid="{D5CDD505-2E9C-101B-9397-08002B2CF9AE}" pid="24" name="Mendeley Citation Style_1">
    <vt:lpwstr>http://www.zotero.org/styles/university-of-gothenburg-apa-7th-edition-swedish-legislations</vt:lpwstr>
  </property>
</Properties>
</file>